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  <w:lang w:eastAsia="zh-CN"/>
        </w:rPr>
        <w:t>自治区教育厅下达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</w:rPr>
        <w:t>民办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  <w:lang w:eastAsia="zh-CN"/>
        </w:rPr>
        <w:t>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w w:val="100"/>
          <w:sz w:val="44"/>
          <w:szCs w:val="44"/>
          <w:lang w:eastAsia="zh-CN"/>
        </w:rPr>
        <w:t>专项资金奖补实施方案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为贯彻落实国家关于“积极鼓励、大力支持、依法管理”的民办教育方针，促进我县民办教育健康发展，根据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  <w:lang w:eastAsia="zh-CN"/>
        </w:rPr>
        <w:t>自治区财政厅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 xml:space="preserve"> 自治区教育厅关于提前下达部分教育专项资金预算指标的通知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</w:rPr>
        <w:t>》（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  <w:lang w:eastAsia="zh-CN"/>
        </w:rPr>
        <w:t>宁财（教）指标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</w:rPr>
        <w:t>〔201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796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</w:rPr>
        <w:t>号）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sz w:val="32"/>
          <w:szCs w:val="32"/>
          <w:u w:val="none"/>
        </w:rPr>
        <w:t>文件精神，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结合我县实际，特制定本实施方案。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w w:val="100"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为确保民办教育专项资金发放工作顺利实施，成立平罗县民办教育专项资金奖补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分配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领导小组。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组  长：雍珍善    县教体局局长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艳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    县教体局副局长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成  员：顾  芬    县财政局行财科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        冯明宏    县劳动保障监察执法局局长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        耿占林    县教体局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财审计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兵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县教体局教育管理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  <w:t>奖补资金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  <w:lang w:eastAsia="zh-CN"/>
        </w:rPr>
        <w:t>发放的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“促进发展，奖励先进，注重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教师服务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”的原则，专项资金主要用于引导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、促进各普惠性民办幼儿园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坚持社会主义办学方向，端正办学思想，办学定位准确，办学行为规范，社会声誉良好。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w w:val="100"/>
          <w:sz w:val="32"/>
          <w:szCs w:val="32"/>
        </w:rPr>
        <w:t>三、奖补对象</w:t>
      </w:r>
      <w:r>
        <w:rPr>
          <w:rFonts w:hint="eastAsia" w:ascii="黑体" w:hAnsi="黑体" w:eastAsia="黑体" w:cs="黑体"/>
          <w:b/>
          <w:bCs/>
          <w:color w:val="auto"/>
          <w:spacing w:val="0"/>
          <w:w w:val="100"/>
          <w:sz w:val="32"/>
          <w:szCs w:val="32"/>
          <w:lang w:eastAsia="zh-CN"/>
        </w:rPr>
        <w:t>及条件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县域内的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民办幼儿园。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办学相关证照齐全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取得办学许可证、民非企业登记证或营业执照，且证件均在有效期内。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依法办学。幼儿园管理制度健全，保教管理规范，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无“小学化”倾向，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年年检合格，社会声誉良好。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依法建立财务、会计、资产等管理制度，财务专户健全，账目清晰。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依法与教职工签订正规劳动合同，并为教职工缴纳社会保险。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规模适度。近三年生源基本稳定。在园幼儿班额符合规定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（小班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25人，中班30人，大班35人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保教人员配备到位。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提供餐点的全日制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普惠性民办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幼儿园每班配备2名专任教师和1名保育员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医务人员配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备合理。在园幼儿人数在150名以下的幼儿园应当配备专职或者兼职医务保健人员，在园幼儿人数在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150名以上应当配备专职医务保健人员。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四、资金使用范围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奖补资金主要用于普惠性民办幼儿园教师服务，其中资金的80%用于补助已缴纳社保经费的保教人员，20%用于教师培训经费。（未开展教师业务培训的幼儿园不予补助）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  <w:t>五、申报发放程序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1.自主申报。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幼儿园自接到文件之日起，进行自我评估，符合奖补条件的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民办幼儿园，自愿、如实填写《20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年平罗县民办教育专项资金申报表》，同时附幼儿园教师花名册、缴纳社保的人员花名册、社保缴费凭证，教职工工资表（20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年1月至7月）、劳动合同、教师资格证原件及复印件（原件现场查验后即可归还），于20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，交教体局教研室王丽娟老师处。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2.审核确定。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平罗县教体局民办教育专项资金分配领导小组根据各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民办园申报情况，综合运用实地查看、访谈、查阅财务账目等方式，提出初步分配方案，报请县教体局局委会会议研究确定。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3.社会公示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。经研究确定的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民办幼儿园名单及奖补金额在平罗县教育公共服务平台公示5个工作日。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4.资金核拨。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经公示无异议后，按照公示结果，将奖补资金直接划拨到幼儿园财务专户。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sz w:val="32"/>
          <w:szCs w:val="32"/>
        </w:rPr>
        <w:t>六、奖补资金管理和监督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享受民办教育专项奖补资金的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民办幼儿园，要根据奖补资金使用范围，于20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月7日前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教师工资的核查银行发放凭证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的原件及复印件、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教师参加的社会保险凭证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以单位</w:t>
      </w:r>
      <w:r>
        <w:rPr>
          <w:rFonts w:hint="eastAsia" w:ascii="仿宋_GB2312" w:hAnsi="仿宋_GB2312" w:eastAsia="仿宋_GB2312" w:cs="仿宋_GB2312"/>
          <w:color w:val="auto"/>
          <w:spacing w:val="-6"/>
          <w:w w:val="100"/>
          <w:sz w:val="32"/>
          <w:szCs w:val="32"/>
        </w:rPr>
        <w:t>缴纳的为依据</w:t>
      </w:r>
      <w:r>
        <w:rPr>
          <w:rFonts w:hint="eastAsia" w:ascii="仿宋_GB2312" w:hAnsi="仿宋_GB2312" w:eastAsia="仿宋_GB2312" w:cs="仿宋_GB2312"/>
          <w:color w:val="auto"/>
          <w:spacing w:val="-6"/>
          <w:w w:val="10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pacing w:val="-6"/>
          <w:w w:val="100"/>
          <w:sz w:val="32"/>
          <w:szCs w:val="32"/>
        </w:rPr>
        <w:t>教师培训方案上报县教体局教研室王丽娟老师处。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实行园长负责制，获奖补资金的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普惠性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民办幼儿园切实提高奖补资金的使用效益，要建立专门档案，将资金使用的相关凭证和工作情况建档备查。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幼儿园要建立规范的民办学校财务管理制度。接受财政奖补资金的幼儿园，应建立银行专用账户，实行预算管理，要规范使用收费票据。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严格资金使用，财务手续，相关支付必须通过公对公转账，坚决禁止私自从公户提出资金随意使用，严禁幼儿园以任何理由、任何方式截留、挤占和挪用专项资金，支出不得违反国家法律法规和财经纪律，不得用于发放工资性的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贴补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贴和福利费、请客送礼、旅游观光、投资理财、提取管理费、支付罚款、偿还贷款（利息）、捐赠赞助等支出，确保资金使用规范、安全、有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效。对于挤占挪用资金。弄虚作假套取资金等行为，将按照《财经违法行为处罚处分条例》（国务院令第427号）有关规定严肃处理。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平罗县教体局将组织检查组对资金使用情况进行检查。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宋体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autoSpaceDN w:val="0"/>
        <w:textAlignment w:val="bottom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bottom"/>
        <w:rPr>
          <w:rFonts w:ascii="方正小标宋简体" w:hAnsi="方正小标宋简体" w:eastAsia="方正小标宋简体"/>
          <w:b/>
          <w:bCs/>
          <w:color w:val="auto"/>
          <w:spacing w:val="0"/>
          <w:w w:val="100"/>
          <w:sz w:val="44"/>
        </w:rPr>
      </w:pPr>
      <w:r>
        <w:rPr>
          <w:rFonts w:hint="eastAsia" w:ascii="方正小标宋简体" w:hAnsi="方正小标宋简体" w:eastAsia="方正小标宋简体"/>
          <w:b/>
          <w:bCs/>
          <w:color w:val="auto"/>
          <w:spacing w:val="0"/>
          <w:w w:val="100"/>
          <w:sz w:val="44"/>
        </w:rPr>
        <w:t>平罗县</w:t>
      </w:r>
      <w:r>
        <w:rPr>
          <w:rFonts w:ascii="方正小标宋简体" w:hAnsi="方正小标宋简体" w:eastAsia="方正小标宋简体"/>
          <w:b/>
          <w:bCs/>
          <w:color w:val="auto"/>
          <w:spacing w:val="0"/>
          <w:w w:val="100"/>
          <w:sz w:val="44"/>
        </w:rPr>
        <w:t>民办幼儿园奖补资金申请表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bottom"/>
        <w:rPr>
          <w:rFonts w:ascii="方正小标宋简体" w:hAnsi="方正小标宋简体" w:eastAsia="方正小标宋简体"/>
          <w:b/>
          <w:bCs/>
          <w:color w:val="auto"/>
          <w:spacing w:val="0"/>
          <w:w w:val="100"/>
          <w:sz w:val="44"/>
        </w:rPr>
      </w:pPr>
    </w:p>
    <w:p>
      <w:pPr>
        <w:autoSpaceDN w:val="0"/>
        <w:ind w:left="1"/>
        <w:jc w:val="both"/>
        <w:textAlignment w:val="bottom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  <w:t>一、基本情况</w:t>
      </w:r>
    </w:p>
    <w:tbl>
      <w:tblPr>
        <w:tblStyle w:val="4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085"/>
        <w:gridCol w:w="2497"/>
        <w:gridCol w:w="18"/>
        <w:gridCol w:w="2717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幼儿园名称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办学许可证号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批准办园时间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登记证号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保教费收费标准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生活费收费标准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收费备案时间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文件</w:t>
            </w:r>
          </w:p>
        </w:tc>
        <w:tc>
          <w:tcPr>
            <w:tcW w:w="7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园长姓名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联系方式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法人代表姓名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联系方式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幼儿园土地产权归属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自有（）租用（）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幼儿园等级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在园幼儿数（人）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班级数（个）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幼儿园总投资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（万元）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2017年投资总数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20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教职工总数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缴纳社会保险人数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4" w:hRule="exact"/>
          <w:jc w:val="center"/>
        </w:trPr>
        <w:tc>
          <w:tcPr>
            <w:tcW w:w="225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办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园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特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色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eastAsia="zh-CN"/>
              </w:rPr>
              <w:t>暨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由</w:t>
            </w:r>
          </w:p>
        </w:tc>
        <w:tc>
          <w:tcPr>
            <w:tcW w:w="7388" w:type="dxa"/>
            <w:gridSpan w:val="5"/>
            <w:noWrap w:val="0"/>
            <w:vAlign w:val="top"/>
          </w:tcPr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 w:eastAsia="宋体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法人代表签字（盖章）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年   月   日</w:t>
            </w: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exac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>审核意见</w:t>
            </w: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388" w:type="dxa"/>
            <w:gridSpan w:val="5"/>
            <w:noWrap w:val="0"/>
            <w:vAlign w:val="top"/>
          </w:tcPr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</w:p>
          <w:p>
            <w:pPr>
              <w:rPr>
                <w:rFonts w:hint="eastAsia" w:eastAsia="宋体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 xml:space="preserve">                    负责人签字（盖章）</w:t>
            </w: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w w:val="100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/>
    <w:sectPr>
      <w:headerReference r:id="rId3" w:type="default"/>
      <w:footerReference r:id="rId4" w:type="default"/>
      <w:pgSz w:w="11907" w:h="16840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5336F"/>
    <w:rsid w:val="47E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2020-07-10T02:45:00Z</dcterms:created>
  <dc:creator>戒子美</dc:creator>
  <cp:lastModifiedBy>戒子美</cp:lastModifiedBy>
  <dcterms:modified xsi:type="dcterms:W3CDTF">2020-07-10T02:55:02Z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