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2021年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平罗县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种业监管执法年活动方案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为全面落实中央及自治区打好种业翻身仗部署要求，加强我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种业知识产权保护，严格品种和市场监管，强化执法办案，净化种业市场，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制定本方案。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一、基本思路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以推动种业治理体系和治理能力现代化为目标，以强化种业知识产权保护为重点，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以严格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抓落实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原则，覆盖品种管理、市场监管、案件查处全链条，强化部门协同，不断提高治理成效，营造创新主体有动力、市场主体有活力、市场运行有秩序的良好发展环境。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二、工作目标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通过加强种业知识产权保护，使侵权套牌等违法行为得到有力打击，品种权保护意识明显增强；通过严格品种管理，逐步解决品种同质化问题；通过集中整治和监督检查，使制售假劣、非法生产经营转基因种子等行为得到有效遏制，主要农作物种子质量抽查合格率稳定在98%以上；通过强化种业领域日常监管与执法办案的协调配合，种业治理成效更加明显。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证的种业企业现场检查覆盖率不低于50%；对辖区内种子经营门店检查覆盖率不低于50%，对被抽查门店备案经营品种抽样覆盖率不低于30%，被检查企业、经营门店问题整改合格率为100%；辖区内生产经营主体备案率及生产经营品种备案率为100%；对违法达到移送条件的案件，向公安部门移送率为100%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三、重点任务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坚持问题导向和目标导向，在春夏秋冬关键时间节点，对重点环节、重点品种、重点区域组织开展集中治理，加大违法案件查处，全面净化种业市场。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（一）加大品种权保护力度。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加强植物新品种权保护力度，严厉打击假冒侵犯品种权违法行为，对侵犯品种权案件发现一起，查处一起，切实维护育种者合法权益。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（二）加强植物新品种权宣传培训力度。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组织开展植物新品种权保护法规培训及普法宣传活动，提高保护植物新品种权法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意识，营造全社会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法守法的氛围。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强化行政执法、仲裁、调解等手段，建立侵权纠纷案件快速处理机制，主动做好征集植物新品种权保护意见建议，提高原始育种创新保护水平。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）开展种子基地检查。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以制种企业生产经营许可、生产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备案、委托合同、品种权属和亲本来源等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内容为重点，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制种基地日常检查巡查，严厉打击盗取亲本、抢购套购等侵权行为。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开展制种基地苗期转基因成分检测，强化种子收获前检查，严禁非法转基因种子流出基地。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）加强种子企业检查。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检查生产经营档案、包装标签及种子质量、真实性、转基因成分等。落实分级分类监管要求，对检查中发现问题及投诉举报较多或有重大种子案件的企业，加大检查抽查频次，实行品种检查全覆盖；对于信用好、开展种子质量认证等企业可减少检查频次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）开展种子市场检查。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农作物种子市场方面，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农作物种子市场监管，在春季、秋季等用种关键时期，要按照“双随机”工作要求在辖区内种子交易市场和经营门店开展专项检查，重点检查种子生产经营许可证、生产经营备案、种子包装标签、购销台账和种子质量、真实性、转基因成分检测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）严厉打击种业违法案件。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采取“检打联动”方式，以品种权侵权、制售假劣、无证生产经营、非法生产经营转基因种子等为重点，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加大案件查办力度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查处结果及时公开，做到严格、规范、公正、文明执法。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）建立健全执法协作机制。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强化跨区域种业执法联动响应、信息共享机制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坚持问题导向，确保形成工作合力，做到事有人办、责有人担。完善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与公安、市场监管等部门的线索通报、定期会商、联合执法等工作机制，强化部门间协作配合。加强种业行政执法与刑事司法的衔接，对涉嫌构成犯罪的案件，及时移送公安机关依法从严从重从快打击。</w:t>
      </w:r>
    </w:p>
    <w:p>
      <w:pPr>
        <w:snapToGrid w:val="0"/>
        <w:spacing w:line="560" w:lineRule="exact"/>
        <w:ind w:firstLine="800" w:firstLineChars="25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四、工作要求</w:t>
      </w:r>
    </w:p>
    <w:p>
      <w:pPr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eastAsia="zh-CN"/>
        </w:rPr>
        <w:t>（一）强化组织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领导</w:t>
      </w:r>
      <w:r>
        <w:rPr>
          <w:rFonts w:hint="eastAsia" w:ascii="楷体_GB2312" w:hAnsi="宋体" w:eastAsia="楷体_GB2312" w:cs="宋体"/>
          <w:b/>
          <w:bCs/>
          <w:sz w:val="32"/>
          <w:szCs w:val="32"/>
          <w:lang w:eastAsia="zh-CN"/>
        </w:rPr>
        <w:t>，提高政治站位。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立种业监管执法年工作领导小组，组长由平罗县农业农村局分管副局长董绍兵担任，副组长由执法大队队长王斌、副队长刘金华担任，成员由陈国锋、武文渊、马军强、王连双、张景瑞、孙伟、王玉娟、刘琴组成。要确保种业监管执法活动有效，着力构建与现代农业发展相适应的放心种子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eastAsia="zh-CN"/>
        </w:rPr>
        <w:t>（二）强化市场检查，严格案件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查处。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种子生产经营市场检查频次，严肃查处违法行为，对危害性高、社会影响大的案件要会同有关部门联合查案，对线索明显、事实清楚的案件，可商请公安机关提前介入。涉嫌犯罪的案件，要及时移送公安机关，依法追究其刑事责任。坚决杜绝坑农害农行为发生，切实维护农民群众合法权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）</w:t>
      </w:r>
      <w:r>
        <w:rPr>
          <w:rFonts w:hint="eastAsia" w:ascii="楷体_GB2312" w:hAnsi="宋体" w:eastAsia="楷体_GB2312" w:cs="宋体"/>
          <w:b/>
          <w:bCs/>
          <w:sz w:val="32"/>
          <w:szCs w:val="32"/>
          <w:lang w:eastAsia="zh-CN"/>
        </w:rPr>
        <w:t>广泛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深入宣传，营造良好氛围</w:t>
      </w:r>
      <w:r>
        <w:rPr>
          <w:rFonts w:hint="eastAsia" w:ascii="楷体_GB2312" w:hAnsi="宋体" w:eastAsia="楷体_GB2312" w:cs="宋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分发挥舆论监督和宣传导向作用，利用广播、网络、报刊、宣传单等多种手段，宣传种子监管法律法规和工作成效，及时曝光种子案件，震慑违法犯罪分子。 </w:t>
      </w:r>
    </w:p>
    <w:p>
      <w:pPr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eastAsia="zh-CN"/>
        </w:rPr>
        <w:t>（四）畅通举报途径，维持良好秩序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设立春季种子市场专项整治行动专线，切实发挥打假举报电话作用，做好投诉举报受理工作，对群众投诉多、市场检查中问题突出的企业和产品，要加大处罚力度，提高违法成本，确保种子质量安全，维持种子市场良好秩序。（投诉举报电话：0952-6093192）</w:t>
      </w:r>
    </w:p>
    <w:p>
      <w:pPr>
        <w:ind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）扎实</w:t>
      </w:r>
      <w:r>
        <w:rPr>
          <w:rFonts w:hint="eastAsia" w:ascii="楷体_GB2312" w:hAnsi="宋体" w:eastAsia="楷体_GB2312" w:cs="宋体"/>
          <w:b/>
          <w:bCs/>
          <w:sz w:val="32"/>
          <w:szCs w:val="32"/>
          <w:lang w:eastAsia="zh-CN"/>
        </w:rPr>
        <w:t>推进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工作，及时上报信息。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在此次种业监管执法年活动中，要认真做好种子市场监督检查记录，并加强信息简报工作，将活动开展情况及时上报 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平罗县农业农村局</w:t>
      </w:r>
    </w:p>
    <w:p>
      <w:pPr>
        <w:widowControl/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3"/>
        <w:widowControl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21B2"/>
    <w:rsid w:val="066E1A66"/>
    <w:rsid w:val="096D107A"/>
    <w:rsid w:val="0A7E04A2"/>
    <w:rsid w:val="0DA16ADC"/>
    <w:rsid w:val="11FD28C1"/>
    <w:rsid w:val="13120AC6"/>
    <w:rsid w:val="1AE05538"/>
    <w:rsid w:val="28664F6F"/>
    <w:rsid w:val="28D77AF3"/>
    <w:rsid w:val="2B9C18F1"/>
    <w:rsid w:val="2EC067ED"/>
    <w:rsid w:val="2F773EC8"/>
    <w:rsid w:val="3077273F"/>
    <w:rsid w:val="31A50B49"/>
    <w:rsid w:val="33453B08"/>
    <w:rsid w:val="3385060E"/>
    <w:rsid w:val="34590E7D"/>
    <w:rsid w:val="34925EA1"/>
    <w:rsid w:val="349C7E2F"/>
    <w:rsid w:val="37823728"/>
    <w:rsid w:val="37963931"/>
    <w:rsid w:val="381F2585"/>
    <w:rsid w:val="39272F3A"/>
    <w:rsid w:val="3B590425"/>
    <w:rsid w:val="3C214DE3"/>
    <w:rsid w:val="431E07BD"/>
    <w:rsid w:val="43FE3F5F"/>
    <w:rsid w:val="49105498"/>
    <w:rsid w:val="4EB9071F"/>
    <w:rsid w:val="56F44CD6"/>
    <w:rsid w:val="5AB83AC2"/>
    <w:rsid w:val="5AB92EEC"/>
    <w:rsid w:val="5B5B6F5F"/>
    <w:rsid w:val="5E444603"/>
    <w:rsid w:val="5F6C60AF"/>
    <w:rsid w:val="60B73ED9"/>
    <w:rsid w:val="626B19FD"/>
    <w:rsid w:val="64E80C21"/>
    <w:rsid w:val="67525593"/>
    <w:rsid w:val="6CA94A1D"/>
    <w:rsid w:val="6CE41987"/>
    <w:rsid w:val="6F985840"/>
    <w:rsid w:val="70944BF2"/>
    <w:rsid w:val="7BF76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Theme="minorHAnsi" w:hAnsiTheme="minorHAnsi" w:eastAsiaTheme="minorEastAsia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2021-05-25T18:27:00Z</dcterms:created>
  <dc:creator>Administrator</dc:creator>
  <cp:lastModifiedBy>kylin</cp:lastModifiedBy>
  <cp:lastPrinted>2021-08-12T09:47:00Z</cp:lastPrinted>
  <dcterms:modified xsi:type="dcterms:W3CDTF">2022-10-22T06:30:38Z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SaveFontToCloudKey">
    <vt:lpwstr>894837420_embed</vt:lpwstr>
  </property>
  <property fmtid="{D5CDD505-2E9C-101B-9397-08002B2CF9AE}" pid="4" name="ICV">
    <vt:lpwstr>3A0517507B8B47E18C3DC0F0DE087390</vt:lpwstr>
  </property>
</Properties>
</file>