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平罗县推动民营经济高质量发展重点任务清单</w:t>
      </w: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106"/>
        <w:gridCol w:w="9429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重点任务</w:t>
            </w:r>
          </w:p>
        </w:tc>
        <w:tc>
          <w:tcPr>
            <w:tcW w:w="331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具体落实措施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一、市场环境提升行动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完善市场准入环境</w:t>
            </w:r>
          </w:p>
        </w:tc>
        <w:tc>
          <w:tcPr>
            <w:tcW w:w="3318" w:type="pct"/>
            <w:noWrap w:val="0"/>
            <w:vAlign w:val="center"/>
          </w:tcPr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1.全面落实放宽民营企业市场准入政策，推动“非禁即入”普遍落实，不得以任何形式对民间资本设置附加条件、歧视性条款和准入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sz w:val="22"/>
                <w:szCs w:val="22"/>
              </w:rPr>
              <w:t>门槛。</w:t>
            </w:r>
          </w:p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2.进一步依法精简市场准入行政审批事项，整合、优化跨部门行业准入办事流程，提高审批效率。</w:t>
            </w:r>
          </w:p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3.推行“一单告知、一表申请、一窗受理、一同核查、一网联办、一照准营、一窗出证”的高效服务，持续降低市场主体准入准营成本。</w:t>
            </w:r>
          </w:p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4.完善企业开办服务专区。依托“一网通办”“宁夏政务服务网”，推行“一码导办”“网上办”服务模式，鼓励企业群众进入“宁夏政务服务网”在线申请企业设立事项，享受足不出户、快递送达的办理服务。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审批局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发改局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县直相关部门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维护公平竞争环境</w:t>
            </w:r>
          </w:p>
        </w:tc>
        <w:tc>
          <w:tcPr>
            <w:tcW w:w="3318" w:type="pct"/>
            <w:noWrap w:val="0"/>
            <w:vAlign w:val="center"/>
          </w:tcPr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1.全面落实公平竞争审查制度，不得以任何形式对民间投资主体设置显性或隐性歧视性条款、准入门槛；不得以备案注册、年检、认证等形式设定或变相设定准入障碍；不得在招投标、政府采购中设置所有制形式、股权结构以及其他不合理条件；不得在政府资金安排、土地供应、能源保障、税费减免、资质许可、标准制定等方面实施歧视性措施。</w:t>
            </w:r>
          </w:p>
          <w:p>
            <w:pPr>
              <w:pStyle w:val="4"/>
              <w:spacing w:line="320" w:lineRule="exact"/>
              <w:ind w:firstLine="0"/>
              <w:jc w:val="left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2.加强反垄断、反不正当竞争执法，查处公布一批机关滥用行政权力排除、限制竞争行为的案件。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市场监管局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县直相关部门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优化招标投标环境</w:t>
            </w:r>
          </w:p>
        </w:tc>
        <w:tc>
          <w:tcPr>
            <w:tcW w:w="3318" w:type="pct"/>
            <w:noWrap w:val="0"/>
            <w:vAlign w:val="center"/>
          </w:tcPr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1.持续开展招投标领域专项整治，严厉打击挂靠、出借资质等违法违规行为。</w:t>
            </w:r>
          </w:p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2.完善招投标程序监督与信息公示制度，对依法依规完成的招标，不得以中标企业性质为由对招标责任人进行追责，保障民营企业与国有企业平等参与招投标。</w:t>
            </w:r>
          </w:p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3.支持民营企业参与政府投资项目工程建设，按照公开、公平、公正的原则，保障民营企业投标人合法权益。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pStyle w:val="4"/>
              <w:spacing w:line="320" w:lineRule="exact"/>
              <w:ind w:firstLine="0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审批局</w:t>
            </w:r>
          </w:p>
          <w:p>
            <w:pPr>
              <w:pStyle w:val="4"/>
              <w:spacing w:line="320" w:lineRule="exact"/>
              <w:ind w:firstLine="0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财政局</w:t>
            </w:r>
          </w:p>
          <w:p>
            <w:pPr>
              <w:pStyle w:val="4"/>
              <w:spacing w:line="320" w:lineRule="exact"/>
              <w:ind w:firstLine="0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纪委监委</w:t>
            </w:r>
          </w:p>
          <w:p>
            <w:pPr>
              <w:pStyle w:val="4"/>
              <w:spacing w:line="320" w:lineRule="exact"/>
              <w:ind w:firstLine="0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县直相关部门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打造一流营商环境</w:t>
            </w:r>
          </w:p>
        </w:tc>
        <w:tc>
          <w:tcPr>
            <w:tcW w:w="3318" w:type="pct"/>
            <w:noWrap w:val="0"/>
            <w:vAlign w:val="center"/>
          </w:tcPr>
          <w:p>
            <w:pPr>
              <w:pStyle w:val="4"/>
              <w:spacing w:line="30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1.落实法治化营商环境提质增效政策措施，按年度制定出台县级优化营商环境实施方案，推动营商环境迭代升级。</w:t>
            </w:r>
          </w:p>
          <w:p>
            <w:pPr>
              <w:pStyle w:val="4"/>
              <w:spacing w:line="30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2.实施好营商环境监测评价工作，鼓励民营企业参与评价营商环境。强化监测评价结果运用，切实达到以评促改、以改促优良好效果。</w:t>
            </w:r>
          </w:p>
          <w:p>
            <w:pPr>
              <w:pStyle w:val="4"/>
              <w:spacing w:line="30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3.实施以企业及群众反馈、牵头部门收集转办、责任部门落实办理的化解营商环境领域存在问题工作机制。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发改局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审批局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县直相关部门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二、企业梯次培育行动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构建梯次培育体系</w:t>
            </w:r>
          </w:p>
        </w:tc>
        <w:tc>
          <w:tcPr>
            <w:tcW w:w="3318" w:type="pct"/>
            <w:noWrap w:val="0"/>
            <w:vAlign w:val="center"/>
          </w:tcPr>
          <w:p>
            <w:pPr>
              <w:pStyle w:val="4"/>
              <w:spacing w:line="240" w:lineRule="auto"/>
              <w:ind w:firstLine="0"/>
              <w:jc w:val="left"/>
              <w:rPr>
                <w:rFonts w:ascii="仿宋_GB2312" w:hAnsi="仿宋_GB2312" w:cs="仿宋_GB2312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1.落实好自治区级科技型、创新型、示范型“三个100”企业和“名特优新”四类个体工商户选拔认定，持续培育产业链“链主”企业。</w:t>
            </w:r>
          </w:p>
          <w:p>
            <w:pPr>
              <w:pStyle w:val="4"/>
              <w:spacing w:line="240" w:lineRule="auto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2.鼓励平罗籍企业家回乡设立企业本部，引领带动“小个专、个转企、小升规、规做精、优上市”。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科技局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工信局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发改局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强化创新主体地位</w:t>
            </w:r>
          </w:p>
        </w:tc>
        <w:tc>
          <w:tcPr>
            <w:tcW w:w="3318" w:type="pct"/>
            <w:noWrap w:val="0"/>
            <w:vAlign w:val="center"/>
          </w:tcPr>
          <w:p>
            <w:pPr>
              <w:pStyle w:val="4"/>
              <w:spacing w:line="240" w:lineRule="auto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1.支持民营企业建设企业技术中心、工程技术研究中心等科创平台，推行“揭榜挂帅”、“赛马制”，支持民营企业参与东西部科技合作，强化智力、技术、创新成果引进。</w:t>
            </w:r>
          </w:p>
          <w:p>
            <w:pPr>
              <w:pStyle w:val="4"/>
              <w:spacing w:line="240" w:lineRule="auto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2.支持民营企业牵头承担重大科技项目与重点产业攻关任务，支持首台套技术装备、首批次新材料、首版次软件推广应用。</w:t>
            </w:r>
          </w:p>
          <w:p>
            <w:pPr>
              <w:pStyle w:val="4"/>
              <w:spacing w:line="240" w:lineRule="auto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3.鼓励支持民营企业独立或联合开展科研攻关、创新发展重点任务揭榜挂帅，推动不同所有制、产业链上下游的大中小企业融通创新，开展联合攻关。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科技局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加速数字赋能转型</w:t>
            </w:r>
          </w:p>
        </w:tc>
        <w:tc>
          <w:tcPr>
            <w:tcW w:w="3318" w:type="pct"/>
            <w:noWrap w:val="0"/>
            <w:vAlign w:val="center"/>
          </w:tcPr>
          <w:p>
            <w:pPr>
              <w:pStyle w:val="4"/>
              <w:spacing w:line="240" w:lineRule="auto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1.支持民营企业参与新型基础设施投资建设和应用创新，引导创建智能化生产线、数字化车间、智能工厂，推动建设工业互联网平台。</w:t>
            </w:r>
          </w:p>
          <w:p>
            <w:pPr>
              <w:pStyle w:val="4"/>
              <w:spacing w:line="240" w:lineRule="auto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2.加大扶持力度，支持民营企业开展技术改造、节能降碳改造升级、数字化转型、网络化协同、智能化改造和绿色化提升。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工信局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科技局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助力企业拓展市场</w:t>
            </w:r>
          </w:p>
        </w:tc>
        <w:tc>
          <w:tcPr>
            <w:tcW w:w="3318" w:type="pct"/>
            <w:noWrap w:val="0"/>
            <w:vAlign w:val="center"/>
          </w:tcPr>
          <w:p>
            <w:pPr>
              <w:pStyle w:val="4"/>
              <w:spacing w:line="240" w:lineRule="auto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1.充分利用闽宁协作、东西部协作等平台，引导民营企业参加国内外重大展会活动。加大民营企业“走出去”支持服务力度，深度参与高质量共建“一带一路”有关行动。</w:t>
            </w:r>
          </w:p>
          <w:p>
            <w:pPr>
              <w:pStyle w:val="4"/>
              <w:spacing w:line="240" w:lineRule="auto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2.持续降低企业通行费用和物流成本，实行分路段、分货车类型差异化收费，培育壮大一批综合服务能力较强的物流龙头企业。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商务局</w:t>
            </w:r>
          </w:p>
          <w:p>
            <w:pPr>
              <w:pStyle w:val="4"/>
              <w:spacing w:line="240" w:lineRule="auto"/>
              <w:ind w:firstLine="0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交通局</w:t>
            </w:r>
          </w:p>
          <w:p>
            <w:pPr>
              <w:pStyle w:val="4"/>
              <w:spacing w:line="240" w:lineRule="auto"/>
              <w:ind w:firstLine="0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发改局</w:t>
            </w:r>
          </w:p>
          <w:p>
            <w:pPr>
              <w:pStyle w:val="4"/>
              <w:spacing w:line="240" w:lineRule="auto"/>
              <w:ind w:firstLine="0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科技局</w:t>
            </w:r>
          </w:p>
          <w:p>
            <w:pPr>
              <w:pStyle w:val="4"/>
              <w:spacing w:line="240" w:lineRule="auto"/>
              <w:ind w:firstLine="0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扩大技术人才供给</w:t>
            </w:r>
          </w:p>
        </w:tc>
        <w:tc>
          <w:tcPr>
            <w:tcW w:w="3318" w:type="pct"/>
            <w:noWrap w:val="0"/>
            <w:vAlign w:val="center"/>
          </w:tcPr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1.引导民营企业积极发挥职工培训主体作用，自行组织开展或依托职业院校、职业技能培训机构等开展技术技能人才培训。</w:t>
            </w:r>
          </w:p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2.支持符合条件的民营企业开展自主评价，对技艺高超、业绩突出的民营企业一线职工，按照规定直接认定其相应技能等级。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三、政务服务提效行动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规范提升政务服务</w:t>
            </w:r>
          </w:p>
        </w:tc>
        <w:tc>
          <w:tcPr>
            <w:tcW w:w="3318" w:type="pct"/>
            <w:noWrap w:val="0"/>
            <w:vAlign w:val="center"/>
          </w:tcPr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1.开展县政务服务中心152项事项与正常工作日工作标准完全一致的“周末不打烊”服务，群众可现场办理、自助办理、预约办理、线上办理，提升办事效率。</w:t>
            </w:r>
          </w:p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2.依托宁夏工程建设项目审批监管系统，进一步优化并联审批协同机制，推动更多关联性强、办事需求量大的审批事项集成办理。在全面推行“三证”、四证”联办基础上，根据不同项目特点，围绕“高效办成一件事”，推进“一次申报、多证联办”新模式，为更多工程建设类项目提供主题式、套餐式服务。</w:t>
            </w:r>
          </w:p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3.开展政务服务线上线下融合和向基层延伸试点，加强全区“一窗受理”系统和乡镇“一窗受理”系统应用，拓展“一网通办”“全程网办”范围，实现更多政务服务事项在自助服务终端、“我的宁夏”APP、微信小程序等平台线上办理。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审批局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工业园区管委会县直相关部门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打造涉企服务品牌</w:t>
            </w:r>
          </w:p>
        </w:tc>
        <w:tc>
          <w:tcPr>
            <w:tcW w:w="3318" w:type="pct"/>
            <w:noWrap w:val="0"/>
            <w:vAlign w:val="center"/>
          </w:tcPr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1.优化“企业家服务驿站”功能。围绕企业开办、准营、变更、歇业、退出等全生命周期，启动“企有所呼、我有所应”的服务模式，为企业提供全方位咨询指导，精准纾困解难，推动惠企政策精准直达、主动兑现。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pStyle w:val="4"/>
              <w:spacing w:line="320" w:lineRule="exact"/>
              <w:ind w:firstLine="0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审批局</w:t>
            </w:r>
          </w:p>
          <w:p>
            <w:pPr>
              <w:pStyle w:val="4"/>
              <w:spacing w:line="320" w:lineRule="exact"/>
              <w:ind w:firstLine="0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县直相关部门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构建亲清政商关系</w:t>
            </w:r>
          </w:p>
        </w:tc>
        <w:tc>
          <w:tcPr>
            <w:tcW w:w="3318" w:type="pct"/>
            <w:noWrap w:val="0"/>
            <w:vAlign w:val="center"/>
          </w:tcPr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1.全面推行政商交往“正面清单”、“负面清单”，支持和鼓励各级领导干部坦荡真诚同民营企业家接触交往，主动作为、靠前服务，依法依规为民营企业和民营企业家解难题、办实事，守住交往底线，防范廉政风险，做到亲而有度、清而有为。</w:t>
            </w:r>
          </w:p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2.充分发挥行业协会、商会对接政府与企业的桥梁纽带作用，为民营企业提供政策宣传、需求调研、跟踪反馈和服务对接，组织民营企业参加招商引资、经贸交流、学习考察等活动。</w:t>
            </w:r>
          </w:p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3.建立健全“圆桌会议”制度，各行业部门每月召开一次企业家交流座谈会，与民营企业常态化开展沟通交流，让民营企业“敢说话、说真话”，相关部门要“有问题、必办理、定反馈”。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纪委监委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商务局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发改局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工信局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农业农村局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工商联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县直相关部门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四、诚信政府建设行动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持续强化政务诚信</w:t>
            </w:r>
          </w:p>
        </w:tc>
        <w:tc>
          <w:tcPr>
            <w:tcW w:w="3318" w:type="pct"/>
            <w:noWrap w:val="0"/>
            <w:vAlign w:val="center"/>
          </w:tcPr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1.坚持守信践诺，及时兑现在招商引资中依法依规出台的优惠政策以及承诺约定、合同协议。</w:t>
            </w:r>
          </w:p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2.持续开展政府部门失信问题专项治理，对失信典型案例进行挂牌督办。</w:t>
            </w:r>
          </w:p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3.推广信用承诺和信用评价，健全信用信息修复制度，统一信用修复时限，提高信用修复效率。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政府办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商务局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清理拖欠企业账款</w:t>
            </w:r>
          </w:p>
        </w:tc>
        <w:tc>
          <w:tcPr>
            <w:tcW w:w="3318" w:type="pct"/>
            <w:noWrap w:val="0"/>
            <w:vAlign w:val="center"/>
          </w:tcPr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1.加大对拖欠民营企业账款的清理力度，重点清理机关、事业单位、国有企业拖欠民营企业账款，将拖欠账款清理纳入巡察、审计、督查工作范围，有力有效偿还拖欠款项。</w:t>
            </w:r>
          </w:p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2.健全完善投诉举报受理机制，加强投诉事项的分办、催办、督办和反馈，依法依规妥善处理企业投诉问题。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工信局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县直相关部门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完善政策兑现机制</w:t>
            </w:r>
          </w:p>
        </w:tc>
        <w:tc>
          <w:tcPr>
            <w:tcW w:w="3318" w:type="pct"/>
            <w:noWrap w:val="0"/>
            <w:vAlign w:val="center"/>
          </w:tcPr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1.强化惠企政策公开，政府办、审批局全量梳理归集涉企政策，形成利企政策库，依托“宁夏政务服务网”、平罗政府门户网站，设置惠企政策专区，统一发布、精准推送、一键直达、免申即享。各部门依托公众号等媒体宣传渠道建成各领域惠企政策清单，并公开发布、及时更新。2.积极开展“送政策进企业”活动，相关部门应当在接到或印发惠企政策1周内，将内容宣传到所有涉及企业，做好政策宣传解读。3.及时跟踪评估惠企政策直达情况，对执行效果不好的政策进行优化调整。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pStyle w:val="4"/>
              <w:spacing w:line="320" w:lineRule="exact"/>
              <w:ind w:firstLine="0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政府办</w:t>
            </w:r>
          </w:p>
          <w:p>
            <w:pPr>
              <w:pStyle w:val="4"/>
              <w:spacing w:line="320" w:lineRule="exact"/>
              <w:ind w:firstLine="0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审批局</w:t>
            </w:r>
          </w:p>
          <w:p>
            <w:pPr>
              <w:pStyle w:val="4"/>
              <w:spacing w:line="320" w:lineRule="exact"/>
              <w:ind w:firstLine="0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发改局</w:t>
            </w:r>
          </w:p>
          <w:p>
            <w:pPr>
              <w:pStyle w:val="4"/>
              <w:spacing w:line="320" w:lineRule="exact"/>
              <w:ind w:firstLine="0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工信局</w:t>
            </w:r>
          </w:p>
          <w:p>
            <w:pPr>
              <w:pStyle w:val="4"/>
              <w:spacing w:line="320" w:lineRule="exact"/>
              <w:ind w:firstLine="0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县直相关部门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规范涉企行政收费</w:t>
            </w:r>
          </w:p>
        </w:tc>
        <w:tc>
          <w:tcPr>
            <w:tcW w:w="3318" w:type="pct"/>
            <w:noWrap w:val="0"/>
            <w:vAlign w:val="center"/>
          </w:tcPr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1.持续清理规范城镇供水、供电、供气、供暖行业收费，加强水、电、气、通信、有线电视等市政公用服务价格监管。</w:t>
            </w:r>
          </w:p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2.清理规范环境检测、招标代理、政府采购、产权交易、融资担保评估等领域中介违规收费和不合理收费。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发改局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住建局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市场监管局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县直相关部门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五、公正法治保障行动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保护民营企业合法权益</w:t>
            </w:r>
          </w:p>
        </w:tc>
        <w:tc>
          <w:tcPr>
            <w:tcW w:w="3318" w:type="pct"/>
            <w:noWrap w:val="0"/>
            <w:vAlign w:val="center"/>
          </w:tcPr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1.建立健全涉企事务依法处置机制，依法严惩侵害民营企业和企业家合法权益的违法犯罪，依法规范适用涉产权强制性措施。</w:t>
            </w:r>
          </w:p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2.依托12309检察服务中心民营企业法律服务“绿色通道”，为民营企业及民营企业家提供便捷高效的法律咨询、司法救济等服务。</w:t>
            </w:r>
          </w:p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3.严格落实立案登记制度，有案必立、有诉必理，推进“最多跑一次”改革，符合立案条件的一次性办结，需要补正材料的一次性告知补齐。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司法局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法  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强化知识产权保护运用</w:t>
            </w:r>
          </w:p>
        </w:tc>
        <w:tc>
          <w:tcPr>
            <w:tcW w:w="3318" w:type="pct"/>
            <w:noWrap w:val="0"/>
            <w:vAlign w:val="center"/>
          </w:tcPr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1.开展知识产权保护专项行动，健全知识产权行政执法与刑事司法衔接机制，依法打击侵犯知识产权和伪劣商品违法犯罪活动，支持民营企业开展知识产权快速预审、快速确权、快速维权。</w:t>
            </w:r>
          </w:p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2.狠抓知识产权创造质量，指导和帮助企业开展发明专利申请和维护、商标注册申请工作，严把知识产权申请审查关。</w:t>
            </w:r>
          </w:p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3.推动行业协会加强行业自律管理，充分发挥行业协会作用，形成知识产权纠纷协同保护机制。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pStyle w:val="4"/>
              <w:spacing w:line="320" w:lineRule="exact"/>
              <w:ind w:firstLine="0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市场监管局</w:t>
            </w:r>
          </w:p>
          <w:p>
            <w:pPr>
              <w:pStyle w:val="4"/>
              <w:spacing w:line="320" w:lineRule="exact"/>
              <w:ind w:firstLine="0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公安局</w:t>
            </w:r>
          </w:p>
          <w:p>
            <w:pPr>
              <w:pStyle w:val="4"/>
              <w:spacing w:line="320" w:lineRule="exact"/>
              <w:ind w:firstLine="0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法  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坚持严格规范执法</w:t>
            </w:r>
          </w:p>
        </w:tc>
        <w:tc>
          <w:tcPr>
            <w:tcW w:w="3318" w:type="pct"/>
            <w:noWrap w:val="0"/>
            <w:vAlign w:val="center"/>
          </w:tcPr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1.规范涉企行政检查工作，无法律、政策法规、规章及标准规范依据的，一律不得开展。健全联合检查机制和各类检查事项“一本台账”机制，坚决避免重复检查、多头检查，在生态环保、市场监管、安全生产、消防等领域，探索统筹开展“综合查一次”联合执法、协同执法。</w:t>
            </w:r>
          </w:p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2.严格按照法律规定和违法事实实施罚款，不得随意给予顶格罚款或者高额罚款，不得随意降低对违法行为的认定门槛，不得随意扩大违法行为的范围。</w:t>
            </w:r>
          </w:p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3.完善审慎监管、包容免罚容错纠错工作机制，依法推行轻微违法行为且能及时改正的，实行“首违不罚”、“首违轻罚”。对开展项目建设的企业，对非主观故意的轻微违法行为，未造成社会危害的，以教育引导为主，及时指导企业纠错改错。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pStyle w:val="4"/>
              <w:spacing w:line="320" w:lineRule="exact"/>
              <w:ind w:firstLine="0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市场监管局</w:t>
            </w:r>
          </w:p>
          <w:p>
            <w:pPr>
              <w:pStyle w:val="4"/>
              <w:spacing w:line="320" w:lineRule="exact"/>
              <w:ind w:firstLine="0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应急管理局</w:t>
            </w:r>
          </w:p>
          <w:p>
            <w:pPr>
              <w:pStyle w:val="4"/>
              <w:spacing w:line="320" w:lineRule="exact"/>
              <w:ind w:firstLine="0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市生态环境局</w:t>
            </w:r>
          </w:p>
          <w:p>
            <w:pPr>
              <w:pStyle w:val="4"/>
              <w:spacing w:line="320" w:lineRule="exact"/>
              <w:ind w:firstLine="0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平罗分局</w:t>
            </w:r>
          </w:p>
          <w:p>
            <w:pPr>
              <w:pStyle w:val="4"/>
              <w:spacing w:line="320" w:lineRule="exact"/>
              <w:ind w:firstLine="0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县直相关部门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六、企业家精神弘扬行动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培育弘扬企业家精神</w:t>
            </w:r>
          </w:p>
        </w:tc>
        <w:tc>
          <w:tcPr>
            <w:tcW w:w="3318" w:type="pct"/>
            <w:noWrap w:val="0"/>
            <w:vAlign w:val="center"/>
          </w:tcPr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1.大力培育企业家精神，加强对优秀民营企业家先进事迹、促进民营经济发展壮大典型案例的宣传，弘扬企业家精神，发挥优秀企业家示范带动作用。</w:t>
            </w:r>
          </w:p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2.加大对渲染丑化、煽动抵触民营企业等网络乱象治理力度。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宣传部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统战部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工商联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网信办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评选表彰先进典型</w:t>
            </w:r>
          </w:p>
        </w:tc>
        <w:tc>
          <w:tcPr>
            <w:tcW w:w="3318" w:type="pct"/>
            <w:noWrap w:val="0"/>
            <w:vAlign w:val="center"/>
          </w:tcPr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1.按规定表彰表扬有突出贡献的优秀民营企业和民营企业家，推荐参加劳动模范、五一劳动奖、慈善奖等评选表彰活动，支持民营企业家积极担任人大代表和政协委员。</w:t>
            </w:r>
          </w:p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2.推荐民营企业参评中国质量奖及自治区质量奖，树立民营企业发展标杆。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工商联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  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支持更好履行社会责任</w:t>
            </w:r>
          </w:p>
        </w:tc>
        <w:tc>
          <w:tcPr>
            <w:tcW w:w="3318" w:type="pct"/>
            <w:noWrap w:val="0"/>
            <w:vAlign w:val="center"/>
          </w:tcPr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1.鼓励民营企业自主自愿扩大吸纳就业，主动支持产业工人队伍建设改革。</w:t>
            </w:r>
          </w:p>
          <w:p>
            <w:pPr>
              <w:pStyle w:val="4"/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2.支持民营企业参与乡村振兴，积极投身“万企兴万村”行动，与农户建立实实在在的利益联接机制，领办或参与优势特色产业集群、农业现代化示范区等创建。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人社局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  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工商联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农业农村局</w:t>
            </w:r>
          </w:p>
        </w:tc>
      </w:tr>
    </w:tbl>
    <w:p/>
    <w:sectPr>
      <w:pgSz w:w="16838" w:h="11906" w:orient="landscape"/>
      <w:pgMar w:top="1474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NDEyMGI0ZmI4M2JjMDkxZGRjMGRiMGRkNTU1YzkifQ=="/>
  </w:docVars>
  <w:rsids>
    <w:rsidRoot w:val="6E780144"/>
    <w:rsid w:val="462640A2"/>
    <w:rsid w:val="6E78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</w:style>
  <w:style w:type="paragraph" w:styleId="4">
    <w:name w:val="Normal Indent"/>
    <w:basedOn w:val="1"/>
    <w:unhideWhenUsed/>
    <w:qFormat/>
    <w:uiPriority w:val="99"/>
    <w:pPr>
      <w:widowControl w:val="0"/>
      <w:spacing w:line="300" w:lineRule="auto"/>
      <w:ind w:firstLine="420"/>
      <w:jc w:val="both"/>
    </w:pPr>
    <w:rPr>
      <w:rFonts w:ascii="Calibri" w:hAnsi="Calibri" w:eastAsia="仿宋_GB2312" w:cs="Times New Roman"/>
      <w:kern w:val="2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2024-07-04T03:07:00Z</dcterms:created>
  <dc:creator>糖果</dc:creator>
  <cp:lastModifiedBy>糖果</cp:lastModifiedBy>
  <dcterms:modified xsi:type="dcterms:W3CDTF">2024-07-04T03:22:10Z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94124C29D72549DE8FED990799DB293E_13</vt:lpwstr>
  </property>
</Properties>
</file>