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平罗县推动民营经济高质量发展政策清单</w:t>
      </w:r>
    </w:p>
    <w:tbl>
      <w:tblPr>
        <w:tblStyle w:val="6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8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政策内容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一、科技创新政策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支持民营企业承担实施重大科技项目，对民营企业承担的“前引导”、“后支持”项目，按研发总投入的30%分别给予最高500万元、1000万元资助。（支持单位：自治区科技厅）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对民营企业承担的重大科技成果转化项目，给予项目总投资额30%、最高500万元支持。（支持单位：自治区科技厅）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对企业年度研发费用按标准进行后补助，最高给予300万元一次性补助。（支持单位： 自治区科技厅）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支持企业打造地理标志品牌，对获得地理标志产品保护的每件补助20万元。（支持单位：自治区市场监管厅）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二、产业发展政策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对首次上规模的生产性和生活性服务业企业按规定给予10—50万元一次性奖励。（支持单位：自治区发展改革委、商务厅）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对入选国家制造业单项冠军企业、国家级专精特新“小巨人”企业、自治区“专精特新”中小企业，按现行政策规定分别给予400万元、100万元和30万元一次性奖励。（支持单位：自治区工业和信息化厅）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支持农产品加工企业实施技术装备改造升级，每个项目一次性给予以奖代补资金50万元。（支持单位：自治区农业农村厅）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落实《自治区促进牛奶产业稳定发展十五条政策措施》，加大饲草料种植收储加工、良种繁育、养殖贷款贴息等政策支持，推动奶产业平稳健康发展。（支持单位：自治区农业农村厅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评为自治区级、地市级和县（区）级物流集散分拨配送中心的园区（或企业），分别给予200万元、100万元和50万元一次性奖励，对新评定的A级物流企业按标准给予一次性奖励，对新引进的5A级物流企业固定资产投资项目给予奖励。（支持单位：自治区交通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三、投资促进政策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10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自治区投资项目在线审批监管平台每年发布100个左右重大项目清单，吸引更多民间资本参与重大工程和补短板项目、重大产业链供应链项目、完全使用者付费的特许经营项目建设。（支持单位：自治区发展改革委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11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支持企业通过建设源网荷储一体化项目，在新增负荷附近布局新能源电站，通过自发自用方式绿电直供，实现碳足迹可追溯，降低用电成本。（支持单位：自治区发展改革委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12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在新能源、物流基础设施、产业园区、消费基础设施等领域，支持符合条件的民间投资项目加快发行 REITs 产品。（支持单位：自治区发展改革委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  <w:r>
              <w:rPr>
                <w:rFonts w:ascii="Times New Roman" w:hAnsi="Times New Roman" w:eastAsia="方正仿宋_GBK"/>
                <w:sz w:val="24"/>
              </w:rPr>
              <w:tab/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13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支持新增重大产业项目参与“绿电园区”试点建设，按照项目新增负荷配套光伏指标，通过建设“绿电园区”试点光伏项目向园区供应“绿电”，降低企业用电成本。（支持单位：自治区发展改革委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四、人才培养引进政策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14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支持企业建立院士工作站、专家服务基地等载体，按照相关标准给予经费补助。（支持单位：自治区人力资源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15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支持企业采取多种方式柔性引进急需紧缺人才，经评估按所付薪酬的30%、每年最高50万元的标准给予企业补助，最长补助3年。（支持单位：自治区人力资源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16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对企业培育的自治区杰出科技人才、科技领军人才、青年拔尖人才、青年托举人才，培养期内分别最高给予600万元、100万元、35万元、3万元支持。（支持单位：自治区人力资源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社会保障厅、科技厅、科协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科技局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科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五、稳岗帮扶政策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17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对稳岗效果好的企业给予稳岗返还、社会保险补贴、创业担保贷款及贴息等优惠政策。（支持单位：自治区人力资源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18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对吸纳高校毕业生等重点群体就业能力强的企业，运用直补快办、就近办、加速办等模式，一揽子兑现社会保险补贴等政策。（支持单位：自治区人力资源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19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对不裁员、少裁员的民营企业实施失业保险稳岗返还政策。（支持单位：自治区人力资源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六、资源要素政策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20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按规定保障民营企业投资各级重点项目的用地需求，工业用地可灵活采取弹性年期出让、长期租赁、先租后让等供地方式，优先保障农产品深加工用地。鼓励混合产业用地供给，推动不同产业用地类型合理转换。（支持单位：自治区自然资源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21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推进工业园区供热、供气等公共基础设施共建共享，提高能源供应保障能力。统筹支持民营经济产业优质项目用能需求。（支持单位：自治区发展改革委、住房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 w:val="24"/>
              </w:rPr>
              <w:t>城乡建设厅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  <w:lang w:val="en"/>
              </w:rPr>
              <w:t>工业园区管委会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22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健全用水权、排污权、用能权、碳排放权、山林权等交易机制，引导民营企业积极参与电力市场交易，支持参与可再生能源发电和储能等新能源投资建设。（支持单位：自治区发展改革委、水利厅、生态环境厅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水务局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自然资源局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市生态环境局平罗分局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七、金融支持政策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23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推广“信易贷”、“人才贷”等模式，为企业提供个性化的融资服务和产品。（支持单位：自治区发展改革委、人力资源社会保障厅、地方金融管理局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人社局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24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发挥产业引导基金、纾困基金等作用，加大对“六新六特六优”产业及民营企业支持力度。（支持单位：自治区财政厅、发展改革委、工业和信息化厅、农业农村厅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财政局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工信局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25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对符合创业担保贷款条件的个人最高贷款额度提高到30万元，对符合条件的小微企业最高贷款额度提高到400万元，按规定给予贴息。（支持单位：自治区人力资源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和</w:t>
            </w:r>
            <w:r>
              <w:rPr>
                <w:rFonts w:ascii="Times New Roman" w:hAnsi="Times New Roman" w:eastAsia="方正仿宋_GBK"/>
                <w:sz w:val="24"/>
              </w:rPr>
              <w:t>社会保障厅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  <w:r>
              <w:rPr>
                <w:rFonts w:ascii="Times New Roman" w:hAnsi="Times New Roman" w:eastAsia="方正仿宋_GBK"/>
                <w:sz w:val="24"/>
              </w:rPr>
              <w:tab/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26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对通过知识产权质押获得融资的企业，按照相关标准给予贴息补助及评估费补助。（支持单位：自治区市场监管厅</w:t>
            </w:r>
            <w:r>
              <w:rPr>
                <w:rFonts w:ascii="Times New Roman" w:hAnsi="Times New Roman" w:eastAsia="方正仿宋_GBK"/>
                <w:sz w:val="24"/>
                <w:lang w:val="en"/>
              </w:rPr>
              <w:t>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32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八、税收优惠政策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27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对个体工商户年应纳税所得额不超过200万元的部分，减半征收个人所得税。（支持单位：自治区财政厅、宁夏税务局）</w:t>
            </w:r>
            <w:r>
              <w:rPr>
                <w:rFonts w:ascii="Times New Roman" w:hAnsi="Times New Roman" w:eastAsia="方正仿宋_GBK"/>
                <w:sz w:val="24"/>
              </w:rPr>
              <w:tab/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28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对月销售额10万元以下的增值税小规模纳税人免征增值税、小规模纳税人征收率由3%降至1%，适用3%预征率的预缴增值税项目减按1%预征率预缴增值税。（支持单位：自治区财政厅、宁夏税务局）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  <w:lang w:val="en"/>
              </w:rPr>
              <w:t>29</w:t>
            </w:r>
          </w:p>
        </w:tc>
        <w:tc>
          <w:tcPr>
            <w:tcW w:w="11841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对符合条件、确有困难的民营企业发生欠税，辅导制定清欠计划，对按计划缴纳税款的，可暂不采取强制执行措施。（支持单位：自治区财政厅、宁夏税务局）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财政局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lang w:val="en"/>
              </w:rPr>
            </w:pPr>
            <w:r>
              <w:rPr>
                <w:rFonts w:ascii="Times New Roman" w:hAnsi="Times New Roman" w:eastAsia="方正仿宋_GBK"/>
                <w:sz w:val="24"/>
              </w:rPr>
              <w:t>税务局</w:t>
            </w:r>
          </w:p>
        </w:tc>
      </w:tr>
    </w:tbl>
    <w:p>
      <w:pPr>
        <w:pStyle w:val="9"/>
      </w:pPr>
    </w:p>
    <w:p>
      <w:pPr>
        <w:pStyle w:val="9"/>
        <w:rPr>
          <w:rFonts w:hint="default"/>
        </w:rPr>
        <w:sectPr>
          <w:footerReference r:id="rId3" w:type="default"/>
          <w:pgSz w:w="16838" w:h="11906" w:orient="landscape"/>
          <w:pgMar w:top="1474" w:right="1418" w:bottom="1474" w:left="1418" w:header="567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7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76AB2367"/>
    <w:rsid w:val="64451C8F"/>
    <w:rsid w:val="76A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2024-07-04T03:20:00Z</dcterms:created>
  <dc:creator>糖果</dc:creator>
  <cp:lastModifiedBy>糖果</cp:lastModifiedBy>
  <dcterms:modified xsi:type="dcterms:W3CDTF">2024-07-04T03:35:29Z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2A16D0666F844571B712E1F4A8DB297F_11</vt:lpwstr>
  </property>
</Properties>
</file>