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560" w:lineRule="exact"/>
        <w:jc w:val="center"/>
        <w:rPr>
          <w:rFonts w:hint="eastAsia" w:ascii="方正小标宋_GBK" w:hAnsi="宋体" w:eastAsia="方正小标宋_GBK" w:cs="宋体"/>
          <w:color w:val="000000"/>
          <w:sz w:val="40"/>
          <w:szCs w:val="40"/>
          <w:shd w:val="clear" w:color="auto" w:fill="FFFFFF"/>
        </w:rPr>
      </w:pPr>
      <w:r>
        <w:rPr>
          <w:rFonts w:hint="eastAsia" w:ascii="方正小标宋_GBK" w:hAnsi="宋体" w:eastAsia="方正小标宋_GBK" w:cs="宋体"/>
          <w:color w:val="000000"/>
          <w:sz w:val="40"/>
          <w:szCs w:val="40"/>
          <w:shd w:val="clear" w:color="auto" w:fill="FFFFFF"/>
        </w:rPr>
        <w:t>平罗县医疗卫生机构废弃物专项整治工作方案</w:t>
      </w:r>
    </w:p>
    <w:p>
      <w:pPr>
        <w:pStyle w:val="3"/>
        <w:widowControl/>
        <w:shd w:val="clear" w:color="auto" w:fill="FFFFFF"/>
        <w:spacing w:before="0" w:beforeAutospacing="0" w:after="0" w:afterAutospacing="0" w:line="560" w:lineRule="exact"/>
        <w:jc w:val="center"/>
        <w:rPr>
          <w:rFonts w:hint="eastAsia" w:ascii="仿宋_GB2312" w:hAnsi="宋体" w:eastAsia="仿宋_GB2312" w:cs="宋体"/>
          <w:color w:val="000000"/>
          <w:sz w:val="40"/>
          <w:szCs w:val="40"/>
          <w:shd w:val="clear" w:color="auto" w:fill="FFFFFF"/>
        </w:rPr>
      </w:pPr>
    </w:p>
    <w:p>
      <w:pPr>
        <w:pStyle w:val="3"/>
        <w:widowControl/>
        <w:shd w:val="clear" w:color="auto" w:fill="FFFFFF"/>
        <w:spacing w:before="0" w:beforeAutospacing="0" w:after="0" w:afterAutospacing="0" w:line="540" w:lineRule="exact"/>
        <w:ind w:firstLine="640" w:firstLineChars="2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为进一步落实《关于印发医疗卫生机构废弃物综合治理工作方案的通知》（宁卫函发</w:t>
      </w:r>
      <w:r>
        <w:rPr>
          <w:rFonts w:hint="eastAsia" w:ascii="仿宋_GB2312" w:hAnsi="仿宋" w:eastAsia="仿宋_GB2312" w:cs="仿宋"/>
          <w:bCs/>
          <w:color w:val="000000"/>
          <w:sz w:val="32"/>
          <w:szCs w:val="32"/>
        </w:rPr>
        <w:t>〔2020〕</w:t>
      </w:r>
      <w:r>
        <w:rPr>
          <w:rFonts w:hint="eastAsia" w:ascii="仿宋_GB2312" w:hAnsi="仿宋" w:eastAsia="仿宋_GB2312" w:cs="仿宋"/>
          <w:color w:val="000000"/>
          <w:sz w:val="32"/>
          <w:szCs w:val="32"/>
          <w:shd w:val="clear" w:color="auto" w:fill="FFFFFF"/>
        </w:rPr>
        <w:t>290号）文件要求，促进医疗卫生机构废弃物规范管理和安全处置，结合我县实际，特制订本方案。</w:t>
      </w:r>
    </w:p>
    <w:p>
      <w:pPr>
        <w:pStyle w:val="3"/>
        <w:widowControl/>
        <w:shd w:val="clear" w:color="auto" w:fill="FFFFFF"/>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一、工作目标</w:t>
      </w:r>
    </w:p>
    <w:p>
      <w:pPr>
        <w:pStyle w:val="3"/>
        <w:widowControl/>
        <w:shd w:val="clear" w:color="auto" w:fill="FFFFFF"/>
        <w:spacing w:before="0" w:beforeAutospacing="0" w:after="0" w:afterAutospacing="0" w:line="540" w:lineRule="exact"/>
        <w:ind w:firstLine="640" w:firstLineChars="2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通过开展多部门联合专项整治，进一步提高医疗机构内部废弃物的规范化管理水平，增强医疗废物集中处置能力，规范医疗机构生活垃圾和输液瓶（袋）的回收处置渠道，实现医疗机构废弃物处置的定点定向、闭环管理。以专项整治为抓手，严厉打击涉及医疗废物的违法犯罪行为，曝光一批违法机构，惩处一批不法分子，斩断医疗废弃物黑产业链，保护人体健康和生态环境。</w:t>
      </w:r>
    </w:p>
    <w:p>
      <w:pPr>
        <w:pStyle w:val="3"/>
        <w:widowControl/>
        <w:shd w:val="clear" w:color="auto" w:fill="FFFFFF"/>
        <w:spacing w:before="0" w:beforeAutospacing="0" w:after="0" w:afterAutospacing="0" w:line="54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二、整治范围</w:t>
      </w:r>
    </w:p>
    <w:p>
      <w:pPr>
        <w:pStyle w:val="3"/>
        <w:widowControl/>
        <w:shd w:val="clear" w:color="auto" w:fill="FFFFFF"/>
        <w:spacing w:before="0" w:beforeAutospacing="0" w:after="0" w:afterAutospacing="0" w:line="540" w:lineRule="exact"/>
        <w:ind w:firstLine="640" w:firstLineChars="2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全县范围内的各级各类医疗机构、生活垃圾处置单位、输液瓶（袋）回收利用企业，以及在专项整治中发现的涉嫌违法犯罪的单位和个人。</w:t>
      </w:r>
    </w:p>
    <w:p>
      <w:pPr>
        <w:pStyle w:val="3"/>
        <w:widowControl/>
        <w:shd w:val="clear" w:color="auto" w:fill="FFFFFF"/>
        <w:spacing w:before="0" w:beforeAutospacing="0" w:after="0" w:afterAutospacing="0" w:line="54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三、工作任务</w:t>
      </w:r>
    </w:p>
    <w:p>
      <w:pPr>
        <w:pStyle w:val="3"/>
        <w:widowControl/>
        <w:shd w:val="clear" w:color="auto" w:fill="FFFFFF"/>
        <w:spacing w:before="0" w:beforeAutospacing="0" w:after="0" w:afterAutospacing="0" w:line="540" w:lineRule="exact"/>
        <w:ind w:firstLine="643" w:firstLineChars="200"/>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（一）整治医疗机构违法违规行为。</w:t>
      </w:r>
      <w:r>
        <w:rPr>
          <w:rFonts w:hint="eastAsia" w:ascii="仿宋_GB2312" w:hAnsi="仿宋" w:eastAsia="仿宋_GB2312" w:cs="仿宋"/>
          <w:color w:val="000000"/>
          <w:sz w:val="32"/>
          <w:szCs w:val="32"/>
          <w:shd w:val="clear" w:color="auto" w:fill="FFFFFF"/>
        </w:rPr>
        <w:t>重点整治医疗机构不规范分类收集、登记和交接废弃物；未使用专用包装物及容器盛装医疗废物，未按照规定暂存医疗废物;未将医疗废物交由有资质的单位集中处置，或自建医疗废物处置设施处置不规范；虚报瞒报医疗废物产生量；未严格执行危险废物转移联单制度，非法倒卖医疗废物等行为。</w:t>
      </w:r>
    </w:p>
    <w:p>
      <w:pPr>
        <w:pStyle w:val="3"/>
        <w:widowControl/>
        <w:shd w:val="clear" w:color="auto" w:fill="FFFFFF"/>
        <w:spacing w:before="0" w:beforeAutospacing="0" w:after="0" w:afterAutospacing="0" w:line="540" w:lineRule="exact"/>
        <w:ind w:firstLine="643" w:firstLineChars="200"/>
        <w:rPr>
          <w:rFonts w:hint="eastAsia" w:ascii="仿宋" w:hAnsi="仿宋" w:eastAsia="仿宋" w:cs="仿宋"/>
          <w:color w:val="000000"/>
          <w:sz w:val="32"/>
          <w:szCs w:val="32"/>
        </w:rPr>
      </w:pPr>
      <w:r>
        <w:rPr>
          <w:rFonts w:hint="eastAsia" w:ascii="楷体_GB2312" w:hAnsi="华文楷体" w:eastAsia="楷体_GB2312" w:cs="华文楷体"/>
          <w:b/>
          <w:bCs/>
          <w:color w:val="000000"/>
          <w:sz w:val="32"/>
          <w:szCs w:val="32"/>
          <w:shd w:val="clear" w:color="auto" w:fill="FFFFFF"/>
        </w:rPr>
        <w:t>（二）整治其他单位和个人违法违规行为。</w:t>
      </w:r>
      <w:r>
        <w:rPr>
          <w:rFonts w:hint="eastAsia" w:ascii="仿宋_GB2312" w:hAnsi="仿宋" w:eastAsia="仿宋_GB2312" w:cs="仿宋"/>
          <w:color w:val="000000"/>
          <w:sz w:val="32"/>
          <w:szCs w:val="32"/>
          <w:shd w:val="clear" w:color="auto" w:fill="FFFFFF"/>
        </w:rPr>
        <w:t>非法倒卖、回收利用和处置医疗废物；生活垃圾处置单位未及时清运、处理医疗机构生活垃圾；再利用的输液瓶（袋）用于原用途、制造餐饮容器以及玩具等儿童用品等；医疗机构外输液瓶（袋）回收利用脱离闭环管理等行为。</w:t>
      </w:r>
    </w:p>
    <w:p>
      <w:pPr>
        <w:pStyle w:val="3"/>
        <w:widowControl/>
        <w:shd w:val="clear" w:color="auto" w:fill="FFFFFF"/>
        <w:spacing w:before="0" w:beforeAutospacing="0" w:after="0" w:afterAutospacing="0" w:line="540" w:lineRule="exact"/>
        <w:ind w:firstLine="627" w:firstLineChars="196"/>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四、职责分工</w:t>
      </w:r>
    </w:p>
    <w:p>
      <w:pPr>
        <w:pStyle w:val="3"/>
        <w:widowControl/>
        <w:shd w:val="clear" w:color="auto" w:fill="FFFFFF"/>
        <w:spacing w:before="0" w:beforeAutospacing="0" w:after="0" w:afterAutospacing="0" w:line="540" w:lineRule="exact"/>
        <w:ind w:firstLine="643" w:firstLineChars="200"/>
        <w:rPr>
          <w:rFonts w:hint="eastAsia" w:ascii="仿宋_GB2312" w:hAnsi="仿宋" w:eastAsia="仿宋_GB2312" w:cs="仿宋"/>
          <w:color w:val="000000"/>
          <w:sz w:val="32"/>
          <w:szCs w:val="32"/>
          <w:shd w:val="clear" w:color="auto" w:fill="FFFFFF"/>
        </w:rPr>
      </w:pPr>
      <w:r>
        <w:rPr>
          <w:rFonts w:hint="eastAsia" w:ascii="楷体_GB2312" w:hAnsi="华文楷体" w:eastAsia="楷体_GB2312" w:cs="华文楷体"/>
          <w:b/>
          <w:bCs/>
          <w:color w:val="000000"/>
          <w:sz w:val="32"/>
          <w:szCs w:val="32"/>
          <w:shd w:val="clear" w:color="auto" w:fill="FFFFFF"/>
        </w:rPr>
        <w:t>（一）卫生健康局。</w:t>
      </w:r>
      <w:r>
        <w:rPr>
          <w:rFonts w:hint="eastAsia" w:ascii="仿宋_GB2312" w:hAnsi="仿宋" w:eastAsia="仿宋_GB2312" w:cs="仿宋"/>
          <w:color w:val="000000"/>
          <w:sz w:val="32"/>
          <w:szCs w:val="32"/>
          <w:shd w:val="clear" w:color="auto" w:fill="FFFFFF"/>
        </w:rPr>
        <w:t>县卫生健康局会同生态环境局负责牵头开展专项整治工作，组织协调有关专家和卫生监督所对医疗卫生机构开展指导检查，督促其规范管理各类废弃物处置，依法查处违法违规行为。及时向生态环境局通报医疗机构医疗废物产生、转移或自行处置情况。</w:t>
      </w:r>
    </w:p>
    <w:p>
      <w:pPr>
        <w:pStyle w:val="3"/>
        <w:widowControl/>
        <w:shd w:val="clear" w:color="auto" w:fill="FFFFFF"/>
        <w:spacing w:before="0" w:beforeAutospacing="0" w:after="0" w:afterAutospacing="0" w:line="540" w:lineRule="exact"/>
        <w:ind w:firstLine="643" w:firstLineChars="200"/>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（二）生态环境局。</w:t>
      </w:r>
      <w:r>
        <w:rPr>
          <w:rFonts w:hint="eastAsia" w:ascii="仿宋_GB2312" w:hAnsi="仿宋" w:eastAsia="仿宋_GB2312" w:cs="仿宋"/>
          <w:color w:val="000000"/>
          <w:sz w:val="32"/>
          <w:szCs w:val="32"/>
          <w:shd w:val="clear" w:color="auto" w:fill="FFFFFF"/>
        </w:rPr>
        <w:t>负责加强对医疗废物集中处置单位的环境监管和执法检查，依法查处环境违法违规行为。及时向卫生健康局通报医疗废物集中处置单位行政审批情况，面向社会公开医疗废物集中处置单位名单、处置种类和联系方式等。</w:t>
      </w:r>
    </w:p>
    <w:p>
      <w:pPr>
        <w:pStyle w:val="3"/>
        <w:widowControl/>
        <w:shd w:val="clear" w:color="auto" w:fill="FFFFFF"/>
        <w:spacing w:before="0" w:beforeAutospacing="0" w:after="0" w:afterAutospacing="0" w:line="540" w:lineRule="exact"/>
        <w:ind w:firstLine="581" w:firstLineChars="181"/>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（三）住房和城乡建设局。</w:t>
      </w:r>
      <w:r>
        <w:rPr>
          <w:rFonts w:hint="eastAsia" w:ascii="仿宋_GB2312" w:hAnsi="仿宋" w:eastAsia="仿宋_GB2312" w:cs="仿宋"/>
          <w:color w:val="000000"/>
          <w:sz w:val="32"/>
          <w:szCs w:val="32"/>
          <w:shd w:val="clear" w:color="auto" w:fill="FFFFFF"/>
        </w:rPr>
        <w:t>负责对生活垃圾专业处置单位的行业指导和管理，督促其规范开展医疗机构生活垃圾的回收处置，及时提供生活垃圾专业处置单位名单及联系方式。</w:t>
      </w:r>
    </w:p>
    <w:p>
      <w:pPr>
        <w:pStyle w:val="3"/>
        <w:widowControl/>
        <w:shd w:val="clear" w:color="auto" w:fill="FFFFFF"/>
        <w:spacing w:before="0" w:beforeAutospacing="0" w:after="0" w:afterAutospacing="0" w:line="540" w:lineRule="exact"/>
        <w:ind w:firstLine="581" w:firstLineChars="181"/>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（四）商务和投资促进局。</w:t>
      </w:r>
      <w:r>
        <w:rPr>
          <w:rFonts w:hint="eastAsia" w:ascii="仿宋_GB2312" w:hAnsi="仿宋" w:eastAsia="仿宋_GB2312" w:cs="仿宋"/>
          <w:color w:val="000000"/>
          <w:sz w:val="32"/>
          <w:szCs w:val="32"/>
          <w:shd w:val="clear" w:color="auto" w:fill="FFFFFF"/>
        </w:rPr>
        <w:t>负责定期公布有能力回收输液瓶（袋）等可回收物的企业名单、处置种类和联系方式。</w:t>
      </w:r>
    </w:p>
    <w:p>
      <w:pPr>
        <w:pStyle w:val="3"/>
        <w:widowControl/>
        <w:shd w:val="clear" w:color="auto" w:fill="FFFFFF"/>
        <w:spacing w:before="0" w:beforeAutospacing="0" w:after="0" w:afterAutospacing="0" w:line="540" w:lineRule="exact"/>
        <w:ind w:firstLine="581" w:firstLineChars="181"/>
        <w:rPr>
          <w:rFonts w:hint="eastAsia" w:ascii="仿宋" w:hAnsi="仿宋" w:eastAsia="仿宋" w:cs="仿宋"/>
          <w:color w:val="000000"/>
          <w:sz w:val="32"/>
          <w:szCs w:val="32"/>
        </w:rPr>
      </w:pPr>
      <w:r>
        <w:rPr>
          <w:rFonts w:hint="eastAsia" w:ascii="楷体_GB2312" w:hAnsi="华文楷体" w:eastAsia="楷体_GB2312" w:cs="华文楷体"/>
          <w:b/>
          <w:bCs/>
          <w:color w:val="000000"/>
          <w:sz w:val="32"/>
          <w:szCs w:val="32"/>
          <w:shd w:val="clear" w:color="auto" w:fill="FFFFFF"/>
        </w:rPr>
        <w:t>（五）工业和信息化局。</w:t>
      </w:r>
      <w:r>
        <w:rPr>
          <w:rFonts w:hint="eastAsia" w:ascii="仿宋_GB2312" w:hAnsi="仿宋" w:eastAsia="仿宋_GB2312" w:cs="仿宋"/>
          <w:color w:val="000000"/>
          <w:sz w:val="32"/>
          <w:szCs w:val="32"/>
          <w:shd w:val="clear" w:color="auto" w:fill="FFFFFF"/>
        </w:rPr>
        <w:t>负责对输液瓶（袋）利用企业的行业指导和管理。定期公布并更新有能力利用输液瓶（袋）等可回收物的企业名单、处置种类和联系方式。</w:t>
      </w:r>
    </w:p>
    <w:p>
      <w:pPr>
        <w:pStyle w:val="3"/>
        <w:widowControl/>
        <w:shd w:val="clear" w:color="auto" w:fill="FFFFFF"/>
        <w:spacing w:before="0" w:beforeAutospacing="0" w:after="0" w:afterAutospacing="0" w:line="540" w:lineRule="exact"/>
        <w:ind w:firstLine="581" w:firstLineChars="181"/>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（六）市场监管局。</w:t>
      </w:r>
      <w:r>
        <w:rPr>
          <w:rFonts w:hint="eastAsia" w:ascii="仿宋_GB2312" w:hAnsi="仿宋" w:eastAsia="仿宋_GB2312" w:cs="仿宋"/>
          <w:color w:val="000000"/>
          <w:sz w:val="32"/>
          <w:szCs w:val="32"/>
          <w:shd w:val="clear" w:color="auto" w:fill="FFFFFF"/>
        </w:rPr>
        <w:t>加强市场监管，在综合执法中发现涉及医疗废物违法违规线索的，及时通报本级相关部门。</w:t>
      </w:r>
    </w:p>
    <w:p>
      <w:pPr>
        <w:pStyle w:val="3"/>
        <w:widowControl/>
        <w:shd w:val="clear" w:color="auto" w:fill="FFFFFF"/>
        <w:spacing w:before="0" w:beforeAutospacing="0" w:after="0" w:afterAutospacing="0" w:line="540" w:lineRule="exact"/>
        <w:ind w:firstLine="581" w:firstLineChars="181"/>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（七）公安局。</w:t>
      </w:r>
      <w:r>
        <w:rPr>
          <w:rFonts w:hint="eastAsia" w:ascii="仿宋_GB2312" w:hAnsi="仿宋" w:eastAsia="仿宋_GB2312" w:cs="仿宋"/>
          <w:color w:val="000000"/>
          <w:sz w:val="32"/>
          <w:szCs w:val="32"/>
          <w:shd w:val="clear" w:color="auto" w:fill="FFFFFF"/>
        </w:rPr>
        <w:t>加强与相关行政执法部门的衔接配合，依法严厉打击涉及医疗废物违法犯罪行为。</w:t>
      </w:r>
    </w:p>
    <w:p>
      <w:pPr>
        <w:pStyle w:val="3"/>
        <w:widowControl/>
        <w:shd w:val="clear" w:color="auto" w:fill="FFFFFF"/>
        <w:spacing w:before="0" w:beforeAutospacing="0" w:after="0" w:afterAutospacing="0" w:line="540" w:lineRule="exact"/>
        <w:ind w:firstLine="964" w:firstLineChars="300"/>
        <w:rPr>
          <w:rFonts w:hint="eastAsia" w:ascii="黑体" w:hAnsi="黑体" w:eastAsia="黑体" w:cs="黑体"/>
          <w:color w:val="000000"/>
          <w:sz w:val="32"/>
          <w:szCs w:val="32"/>
        </w:rPr>
      </w:pPr>
      <w:r>
        <w:rPr>
          <w:rFonts w:hint="eastAsia" w:ascii="黑体" w:hAnsi="黑体" w:eastAsia="黑体" w:cs="黑体"/>
          <w:b/>
          <w:color w:val="000000"/>
          <w:sz w:val="32"/>
          <w:szCs w:val="32"/>
          <w:shd w:val="clear" w:color="auto" w:fill="FFFFFF"/>
        </w:rPr>
        <w:t>五、时间安排</w:t>
      </w:r>
    </w:p>
    <w:p>
      <w:pPr>
        <w:pStyle w:val="3"/>
        <w:widowControl/>
        <w:shd w:val="clear" w:color="auto" w:fill="FFFFFF"/>
        <w:spacing w:before="0" w:beforeAutospacing="0" w:after="0" w:afterAutospacing="0" w:line="540" w:lineRule="exact"/>
        <w:ind w:firstLine="643" w:firstLineChars="200"/>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（一）摸底调查阶段（6月30日前）。</w:t>
      </w:r>
      <w:r>
        <w:rPr>
          <w:rFonts w:hint="eastAsia" w:ascii="仿宋_GB2312" w:hAnsi="仿宋" w:eastAsia="仿宋_GB2312" w:cs="仿宋"/>
          <w:color w:val="000000"/>
          <w:sz w:val="32"/>
          <w:szCs w:val="32"/>
          <w:shd w:val="clear" w:color="auto" w:fill="FFFFFF"/>
        </w:rPr>
        <w:t>县卫生健康局、生态环境局、工业和信息化局、公安局、住建局、商务局、市场监管局按照专项整治的主要指标（见附表1），结合既往监督检查情况，于6月底前完成摸底调查工作，明确专人负责，由县卫生健康局汇总后上报上级主管部门。</w:t>
      </w:r>
    </w:p>
    <w:p>
      <w:pPr>
        <w:pStyle w:val="3"/>
        <w:widowControl/>
        <w:shd w:val="clear" w:color="auto" w:fill="FFFFFF"/>
        <w:spacing w:before="0" w:beforeAutospacing="0" w:after="0" w:afterAutospacing="0" w:line="540" w:lineRule="exact"/>
        <w:ind w:firstLine="742" w:firstLineChars="231"/>
        <w:rPr>
          <w:rFonts w:hint="eastAsia" w:ascii="仿宋_GB2312" w:hAnsi="华文楷体" w:eastAsia="仿宋_GB2312" w:cs="华文楷体"/>
          <w:b/>
          <w:bCs/>
          <w:color w:val="000000"/>
          <w:sz w:val="32"/>
          <w:szCs w:val="32"/>
          <w:shd w:val="clear" w:color="auto" w:fill="FFFFFF"/>
        </w:rPr>
      </w:pPr>
      <w:r>
        <w:rPr>
          <w:rFonts w:hint="eastAsia" w:ascii="楷体_GB2312" w:hAnsi="华文楷体" w:eastAsia="楷体_GB2312" w:cs="华文楷体"/>
          <w:b/>
          <w:bCs/>
          <w:color w:val="000000"/>
          <w:sz w:val="32"/>
          <w:szCs w:val="32"/>
          <w:shd w:val="clear" w:color="auto" w:fill="FFFFFF"/>
        </w:rPr>
        <w:t>（二）自查整改和推进工作阶段（6月30日--10月25日）。</w:t>
      </w:r>
      <w:r>
        <w:rPr>
          <w:rFonts w:hint="eastAsia" w:ascii="仿宋_GB2312" w:hAnsi="仿宋" w:eastAsia="仿宋_GB2312" w:cs="仿宋"/>
          <w:color w:val="000000"/>
          <w:sz w:val="32"/>
          <w:szCs w:val="32"/>
          <w:shd w:val="clear" w:color="auto" w:fill="FFFFFF"/>
        </w:rPr>
        <w:t>各医疗卫生机构全面开展自查，及时发现问题并建立整改台账，实行限时整改。各有关部门根据职责，按照工作任务和时间要求，加强日常管理和专项整治。6-11月期间，各有关部门每月20日前向县卫生健康局通报工作进展，及时解决发现的问题，明确下一步工作安排。</w:t>
      </w:r>
    </w:p>
    <w:p>
      <w:pPr>
        <w:pStyle w:val="3"/>
        <w:widowControl/>
        <w:shd w:val="clear" w:color="auto" w:fill="FFFFFF"/>
        <w:spacing w:before="0" w:beforeAutospacing="0" w:after="0" w:afterAutospacing="0" w:line="540" w:lineRule="exact"/>
        <w:ind w:firstLine="581" w:firstLineChars="181"/>
        <w:rPr>
          <w:rFonts w:hint="eastAsia" w:ascii="仿宋" w:hAnsi="仿宋" w:eastAsia="仿宋" w:cs="仿宋"/>
          <w:color w:val="000000"/>
          <w:sz w:val="32"/>
          <w:szCs w:val="32"/>
        </w:rPr>
      </w:pPr>
      <w:r>
        <w:rPr>
          <w:rFonts w:hint="eastAsia" w:ascii="楷体_GB2312" w:hAnsi="华文楷体" w:eastAsia="楷体_GB2312" w:cs="华文楷体"/>
          <w:b/>
          <w:bCs/>
          <w:color w:val="000000"/>
          <w:sz w:val="32"/>
          <w:szCs w:val="32"/>
          <w:shd w:val="clear" w:color="auto" w:fill="FFFFFF"/>
        </w:rPr>
        <w:t>（三）总结评估阶段（11月1日前）。</w:t>
      </w:r>
      <w:r>
        <w:rPr>
          <w:rFonts w:hint="eastAsia" w:ascii="仿宋_GB2312" w:hAnsi="仿宋" w:eastAsia="仿宋_GB2312" w:cs="仿宋"/>
          <w:color w:val="000000"/>
          <w:sz w:val="32"/>
          <w:szCs w:val="32"/>
          <w:shd w:val="clear" w:color="auto" w:fill="FFFFFF"/>
        </w:rPr>
        <w:t>11月1日前各相关单位将总结专项整治工作，填写主要指标情况表（附件1）、执法案件汇总表（附件2），并形成工作总结一并报送县卫生健康局汇总上报。工作总结应当包括基本情况、整治成效、存在的问题及下一步工作。县卫生健康局将会同生态环境局等有关部门组织对各医疗卫生机构进行督导检查，具体时间另行通知。</w:t>
      </w:r>
    </w:p>
    <w:p>
      <w:pPr>
        <w:pStyle w:val="3"/>
        <w:widowControl/>
        <w:shd w:val="clear" w:color="auto" w:fill="FFFFFF"/>
        <w:spacing w:before="0" w:beforeAutospacing="0" w:after="0" w:afterAutospacing="0" w:line="540" w:lineRule="exact"/>
        <w:ind w:firstLine="627" w:firstLineChars="196"/>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六、保障措施</w:t>
      </w:r>
    </w:p>
    <w:p>
      <w:pPr>
        <w:pStyle w:val="3"/>
        <w:widowControl/>
        <w:shd w:val="clear" w:color="auto" w:fill="FFFFFF"/>
        <w:spacing w:before="0" w:beforeAutospacing="0" w:after="0" w:afterAutospacing="0" w:line="540" w:lineRule="exact"/>
        <w:ind w:firstLine="580" w:firstLineChars="181"/>
        <w:rPr>
          <w:rFonts w:hint="eastAsia" w:ascii="仿宋_GB2312" w:hAnsi="仿宋" w:eastAsia="仿宋_GB2312" w:cs="仿宋"/>
          <w:color w:val="000000"/>
          <w:sz w:val="32"/>
          <w:szCs w:val="32"/>
        </w:rPr>
      </w:pPr>
      <w:r>
        <w:rPr>
          <w:rFonts w:hint="eastAsia" w:ascii="华文楷体" w:hAnsi="华文楷体" w:eastAsia="华文楷体" w:cs="华文楷体"/>
          <w:b/>
          <w:bCs/>
          <w:color w:val="000000"/>
          <w:sz w:val="32"/>
          <w:szCs w:val="32"/>
          <w:shd w:val="clear" w:color="auto" w:fill="FFFFFF"/>
        </w:rPr>
        <w:t>（</w:t>
      </w:r>
      <w:r>
        <w:rPr>
          <w:rFonts w:hint="eastAsia" w:ascii="楷体_GB2312" w:hAnsi="华文楷体" w:eastAsia="楷体_GB2312" w:cs="华文楷体"/>
          <w:b/>
          <w:bCs/>
          <w:color w:val="000000"/>
          <w:sz w:val="32"/>
          <w:szCs w:val="32"/>
          <w:shd w:val="clear" w:color="auto" w:fill="FFFFFF"/>
        </w:rPr>
        <w:t>一）加强组织领导，建立工作机制。</w:t>
      </w:r>
      <w:r>
        <w:rPr>
          <w:rFonts w:hint="eastAsia" w:ascii="仿宋_GB2312" w:hAnsi="仿宋" w:eastAsia="仿宋_GB2312" w:cs="仿宋"/>
          <w:color w:val="000000"/>
          <w:sz w:val="32"/>
          <w:szCs w:val="32"/>
          <w:shd w:val="clear" w:color="auto" w:fill="FFFFFF"/>
        </w:rPr>
        <w:t>各相关部门要高度重视医疗机构废弃物专项整治工作，明确各有关部门的负责人和联系人，建立联系会议制度，定期召开会议，通报监督执法结果，共享监管信息，研究推进工作，推动整治工作有效落实。为便于开展工作，各相关单位指定一名工作人员承担此项工作联络员。</w:t>
      </w:r>
    </w:p>
    <w:p>
      <w:pPr>
        <w:pStyle w:val="3"/>
        <w:widowControl/>
        <w:shd w:val="clear" w:color="auto" w:fill="FFFFFF"/>
        <w:spacing w:before="0" w:beforeAutospacing="0" w:after="0" w:afterAutospacing="0" w:line="540" w:lineRule="exact"/>
        <w:ind w:firstLine="581" w:firstLineChars="181"/>
        <w:rPr>
          <w:rFonts w:hint="eastAsia" w:ascii="仿宋_GB2312" w:hAnsi="仿宋" w:eastAsia="仿宋_GB2312" w:cs="仿宋"/>
          <w:color w:val="000000"/>
          <w:sz w:val="32"/>
          <w:szCs w:val="32"/>
        </w:rPr>
      </w:pPr>
      <w:r>
        <w:rPr>
          <w:rFonts w:hint="eastAsia" w:ascii="楷体_GB2312" w:hAnsi="华文楷体" w:eastAsia="楷体_GB2312" w:cs="华文楷体"/>
          <w:b/>
          <w:bCs/>
          <w:color w:val="000000"/>
          <w:sz w:val="32"/>
          <w:szCs w:val="32"/>
          <w:shd w:val="clear" w:color="auto" w:fill="FFFFFF"/>
        </w:rPr>
        <w:t>（二）做好宣传工作，正面舆论引导。</w:t>
      </w:r>
      <w:r>
        <w:rPr>
          <w:rFonts w:hint="eastAsia" w:ascii="仿宋_GB2312" w:hAnsi="仿宋" w:eastAsia="仿宋_GB2312" w:cs="仿宋"/>
          <w:color w:val="000000"/>
          <w:sz w:val="32"/>
          <w:szCs w:val="32"/>
          <w:shd w:val="clear" w:color="auto" w:fill="FFFFFF"/>
        </w:rPr>
        <w:t>统筹城市生活垃圾分类和文明城市、卫生城市宣传工作，利用传统媒体、新媒体等多渠道进行宣传。大力宣传医疗机构废弃物科学分类、规范处理的意义和有关知识，重点引导正确认识输液瓶（袋）回收利用的价值和安全性。加大对涉及医疗废物典型案件的曝光力度，强力震慑不法分子和机构，营造良好社会氛围。</w:t>
      </w:r>
    </w:p>
    <w:p>
      <w:pPr>
        <w:pStyle w:val="3"/>
        <w:widowControl/>
        <w:shd w:val="clear" w:color="auto" w:fill="FFFFFF"/>
        <w:spacing w:before="0" w:beforeAutospacing="0" w:after="0" w:afterAutospacing="0" w:line="540" w:lineRule="exact"/>
        <w:ind w:firstLine="580" w:firstLineChars="181"/>
        <w:rPr>
          <w:rFonts w:hint="eastAsia" w:ascii="仿宋_GB2312" w:hAnsi="仿宋" w:eastAsia="仿宋_GB2312" w:cs="仿宋"/>
          <w:color w:val="000000"/>
          <w:sz w:val="32"/>
          <w:szCs w:val="32"/>
        </w:rPr>
      </w:pPr>
      <w:r>
        <w:rPr>
          <w:rFonts w:hint="eastAsia" w:ascii="华文楷体" w:hAnsi="华文楷体" w:eastAsia="华文楷体" w:cs="华文楷体"/>
          <w:b/>
          <w:bCs/>
          <w:color w:val="000000"/>
          <w:sz w:val="32"/>
          <w:szCs w:val="32"/>
          <w:shd w:val="clear" w:color="auto" w:fill="FFFFFF"/>
        </w:rPr>
        <w:t>（</w:t>
      </w:r>
      <w:r>
        <w:rPr>
          <w:rFonts w:hint="eastAsia" w:ascii="楷体_GB2312" w:hAnsi="华文楷体" w:eastAsia="楷体_GB2312" w:cs="华文楷体"/>
          <w:b/>
          <w:bCs/>
          <w:color w:val="000000"/>
          <w:sz w:val="32"/>
          <w:szCs w:val="32"/>
          <w:shd w:val="clear" w:color="auto" w:fill="FFFFFF"/>
        </w:rPr>
        <w:t>三）加强指导检查，狠抓工作落实。</w:t>
      </w:r>
      <w:r>
        <w:rPr>
          <w:rFonts w:hint="eastAsia" w:ascii="仿宋_GB2312" w:hAnsi="仿宋" w:eastAsia="仿宋_GB2312" w:cs="仿宋"/>
          <w:color w:val="000000"/>
          <w:sz w:val="32"/>
          <w:szCs w:val="32"/>
          <w:shd w:val="clear" w:color="auto" w:fill="FFFFFF"/>
        </w:rPr>
        <w:t>各相关部门要按照本通知要求狠抓落实，切实履职到位。定期组织现场检查、指导工作，了解基层工作进展，协助解决困难问题。必要时开展联合监督执法。对于好的经验做法，及时总结和推广。对于组织领导不力、工作措施落实不到位的，给予通报批评。</w:t>
      </w:r>
    </w:p>
    <w:p>
      <w:pPr>
        <w:pStyle w:val="3"/>
        <w:widowControl/>
        <w:shd w:val="clear" w:color="auto" w:fill="FFFFFF"/>
        <w:spacing w:before="0" w:beforeAutospacing="0" w:after="0" w:afterAutospacing="0" w:line="540" w:lineRule="exact"/>
        <w:ind w:firstLine="420"/>
        <w:rPr>
          <w:rFonts w:hint="eastAsia" w:ascii="仿宋_GB2312" w:hAnsi="仿宋" w:eastAsia="仿宋_GB2312" w:cs="仿宋"/>
          <w:color w:val="000000"/>
          <w:sz w:val="32"/>
          <w:szCs w:val="32"/>
          <w:shd w:val="clear" w:color="auto" w:fill="FFFFFF"/>
        </w:rPr>
      </w:pPr>
    </w:p>
    <w:p>
      <w:pPr>
        <w:pStyle w:val="3"/>
        <w:widowControl/>
        <w:shd w:val="clear" w:color="auto" w:fill="FFFFFF"/>
        <w:spacing w:before="0" w:beforeAutospacing="0" w:after="0" w:afterAutospacing="0" w:line="540" w:lineRule="exact"/>
        <w:ind w:firstLine="42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联系人：平罗县卫生健康局   王学琴</w:t>
      </w:r>
    </w:p>
    <w:p>
      <w:pPr>
        <w:pStyle w:val="3"/>
        <w:widowControl/>
        <w:shd w:val="clear" w:color="auto" w:fill="FFFFFF"/>
        <w:spacing w:before="0" w:beforeAutospacing="0" w:after="0" w:afterAutospacing="0" w:line="540" w:lineRule="exact"/>
        <w:ind w:firstLine="42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电  话：0952-6666013</w:t>
      </w:r>
    </w:p>
    <w:p>
      <w:pPr>
        <w:pStyle w:val="3"/>
        <w:widowControl/>
        <w:shd w:val="clear" w:color="auto" w:fill="FFFFFF"/>
        <w:spacing w:before="0" w:beforeAutospacing="0" w:after="0" w:afterAutospacing="0" w:line="540" w:lineRule="exact"/>
        <w:ind w:firstLine="42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附  件：1.</w:t>
      </w:r>
      <w:r>
        <w:rPr>
          <w:rFonts w:hint="eastAsia" w:ascii="仿宋_GB2312" w:hAnsi="仿宋" w:eastAsia="仿宋_GB2312" w:cs="仿宋"/>
          <w:color w:val="000000"/>
          <w:sz w:val="32"/>
          <w:szCs w:val="32"/>
          <w:shd w:val="clear" w:color="auto" w:fill="FFFFFF"/>
        </w:rPr>
        <w:fldChar w:fldCharType="begin"/>
      </w:r>
      <w:r>
        <w:rPr>
          <w:rFonts w:hint="eastAsia" w:ascii="仿宋_GB2312" w:hAnsi="仿宋" w:eastAsia="仿宋_GB2312" w:cs="仿宋"/>
          <w:color w:val="000000"/>
          <w:sz w:val="32"/>
          <w:szCs w:val="32"/>
          <w:shd w:val="clear" w:color="auto" w:fill="FFFFFF"/>
        </w:rPr>
        <w:instrText xml:space="preserve"> HYPERLINK "http://www.gov.cn/zhengce/zhengceku/2020-05/19/5512916/files/dfe0987f25ea4a1eb00ca72b5b517cdd.docx" \t "http://www.gov.cn/zhengce/zhengceku/2020-05/19/_blank" </w:instrText>
      </w:r>
      <w:r>
        <w:rPr>
          <w:rFonts w:hint="eastAsia" w:ascii="仿宋_GB2312" w:hAnsi="仿宋" w:eastAsia="仿宋_GB2312" w:cs="仿宋"/>
          <w:color w:val="000000"/>
          <w:sz w:val="32"/>
          <w:szCs w:val="32"/>
          <w:shd w:val="clear" w:color="auto" w:fill="FFFFFF"/>
        </w:rPr>
        <w:fldChar w:fldCharType="separate"/>
      </w:r>
      <w:r>
        <w:rPr>
          <w:rFonts w:hint="eastAsia" w:ascii="仿宋_GB2312" w:hAnsi="仿宋" w:eastAsia="仿宋_GB2312" w:cs="仿宋"/>
          <w:color w:val="000000"/>
          <w:sz w:val="32"/>
          <w:szCs w:val="32"/>
          <w:shd w:val="clear" w:color="auto" w:fill="FFFFFF"/>
        </w:rPr>
        <w:t>医疗机构废弃物专项整治主要指标情况表 </w:t>
      </w:r>
      <w:r>
        <w:rPr>
          <w:rFonts w:hint="eastAsia" w:ascii="仿宋_GB2312" w:hAnsi="仿宋" w:eastAsia="仿宋_GB2312" w:cs="仿宋"/>
          <w:color w:val="000000"/>
          <w:sz w:val="32"/>
          <w:szCs w:val="32"/>
          <w:shd w:val="clear" w:color="auto" w:fill="FFFFFF"/>
        </w:rPr>
        <w:fldChar w:fldCharType="end"/>
      </w:r>
    </w:p>
    <w:p>
      <w:pPr>
        <w:pStyle w:val="3"/>
        <w:widowControl/>
        <w:shd w:val="clear" w:color="auto" w:fill="FFFFFF"/>
        <w:spacing w:before="0" w:beforeAutospacing="0" w:after="0" w:afterAutospacing="0" w:line="540" w:lineRule="exact"/>
        <w:ind w:firstLine="420"/>
        <w:rPr>
          <w:rFonts w:hint="eastAsia" w:ascii="仿宋_GB2312" w:hAnsi="仿宋" w:eastAsia="仿宋_GB2312" w:cs="仿宋"/>
          <w:color w:val="000000"/>
          <w:sz w:val="32"/>
          <w:szCs w:val="32"/>
          <w:shd w:val="clear" w:color="auto" w:fill="FFFFFF"/>
        </w:rPr>
      </w:pPr>
      <w:r>
        <w:rPr>
          <w:rFonts w:hint="eastAsia" w:ascii="仿宋" w:hAnsi="仿宋" w:eastAsia="仿宋_GB2312" w:cs="仿宋"/>
          <w:color w:val="000000"/>
          <w:sz w:val="32"/>
          <w:szCs w:val="32"/>
          <w:shd w:val="clear" w:color="auto" w:fill="FFFFFF"/>
        </w:rPr>
        <w:t> </w:t>
      </w:r>
      <w:r>
        <w:rPr>
          <w:rFonts w:hint="eastAsia" w:ascii="仿宋_GB2312" w:hAnsi="仿宋" w:eastAsia="仿宋_GB2312" w:cs="仿宋"/>
          <w:color w:val="000000"/>
          <w:sz w:val="32"/>
          <w:szCs w:val="32"/>
          <w:shd w:val="clear" w:color="auto" w:fill="FFFFFF"/>
        </w:rPr>
        <w:t xml:space="preserve"> </w:t>
      </w:r>
      <w:r>
        <w:rPr>
          <w:rFonts w:hint="eastAsia" w:ascii="仿宋" w:hAnsi="仿宋" w:eastAsia="仿宋_GB2312" w:cs="仿宋"/>
          <w:color w:val="000000"/>
          <w:sz w:val="32"/>
          <w:szCs w:val="32"/>
          <w:shd w:val="clear" w:color="auto" w:fill="FFFFFF"/>
        </w:rPr>
        <w:t> </w:t>
      </w:r>
      <w:r>
        <w:rPr>
          <w:rFonts w:hint="eastAsia" w:ascii="仿宋_GB2312" w:hAnsi="仿宋" w:eastAsia="仿宋_GB2312" w:cs="仿宋"/>
          <w:color w:val="000000"/>
          <w:sz w:val="32"/>
          <w:szCs w:val="32"/>
          <w:shd w:val="clear" w:color="auto" w:fill="FFFFFF"/>
        </w:rPr>
        <w:t xml:space="preserve"> </w:t>
      </w:r>
      <w:r>
        <w:rPr>
          <w:rFonts w:hint="eastAsia" w:ascii="仿宋" w:hAnsi="仿宋" w:eastAsia="仿宋_GB2312" w:cs="仿宋"/>
          <w:color w:val="000000"/>
          <w:sz w:val="32"/>
          <w:szCs w:val="32"/>
          <w:shd w:val="clear" w:color="auto" w:fill="FFFFFF"/>
        </w:rPr>
        <w:t> </w:t>
      </w:r>
      <w:r>
        <w:rPr>
          <w:rFonts w:hint="eastAsia" w:ascii="仿宋_GB2312" w:hAnsi="仿宋" w:eastAsia="仿宋_GB2312" w:cs="仿宋"/>
          <w:color w:val="000000"/>
          <w:sz w:val="32"/>
          <w:szCs w:val="32"/>
          <w:shd w:val="clear" w:color="auto" w:fill="FFFFFF"/>
        </w:rPr>
        <w:t xml:space="preserve">   2.</w:t>
      </w:r>
      <w:r>
        <w:rPr>
          <w:rFonts w:hint="eastAsia" w:ascii="仿宋_GB2312" w:hAnsi="仿宋" w:eastAsia="仿宋_GB2312" w:cs="仿宋"/>
          <w:color w:val="000000"/>
          <w:sz w:val="32"/>
          <w:szCs w:val="32"/>
          <w:shd w:val="clear" w:color="auto" w:fill="FFFFFF"/>
        </w:rPr>
        <w:fldChar w:fldCharType="begin"/>
      </w:r>
      <w:r>
        <w:rPr>
          <w:rFonts w:hint="eastAsia" w:ascii="仿宋_GB2312" w:hAnsi="仿宋" w:eastAsia="仿宋_GB2312" w:cs="仿宋"/>
          <w:color w:val="000000"/>
          <w:sz w:val="32"/>
          <w:szCs w:val="32"/>
          <w:shd w:val="clear" w:color="auto" w:fill="FFFFFF"/>
        </w:rPr>
        <w:instrText xml:space="preserve"> HYPERLINK "http://www.gov.cn/zhengce/zhengceku/2020-05/19/5512916/files/554b36157423492987a5ebed338fbafb.docx" \t "http://www.gov.cn/zhengce/zhengceku/2020-05/19/_blank" </w:instrText>
      </w:r>
      <w:r>
        <w:rPr>
          <w:rFonts w:hint="eastAsia" w:ascii="仿宋_GB2312" w:hAnsi="仿宋" w:eastAsia="仿宋_GB2312" w:cs="仿宋"/>
          <w:color w:val="000000"/>
          <w:sz w:val="32"/>
          <w:szCs w:val="32"/>
          <w:shd w:val="clear" w:color="auto" w:fill="FFFFFF"/>
        </w:rPr>
        <w:fldChar w:fldCharType="separate"/>
      </w:r>
      <w:r>
        <w:rPr>
          <w:rFonts w:hint="eastAsia" w:ascii="仿宋_GB2312" w:hAnsi="仿宋" w:eastAsia="仿宋_GB2312" w:cs="仿宋"/>
          <w:color w:val="000000"/>
          <w:sz w:val="32"/>
          <w:szCs w:val="32"/>
          <w:shd w:val="clear" w:color="auto" w:fill="FFFFFF"/>
        </w:rPr>
        <w:fldChar w:fldCharType="end"/>
      </w:r>
      <w:r>
        <w:rPr>
          <w:rFonts w:hint="eastAsia" w:ascii="仿宋_GB2312" w:hAnsi="仿宋" w:eastAsia="仿宋_GB2312" w:cs="仿宋"/>
          <w:color w:val="000000"/>
          <w:sz w:val="32"/>
          <w:szCs w:val="32"/>
          <w:shd w:val="clear" w:color="auto" w:fill="FFFFFF"/>
        </w:rPr>
        <w:fldChar w:fldCharType="begin"/>
      </w:r>
      <w:r>
        <w:rPr>
          <w:rFonts w:hint="eastAsia" w:ascii="仿宋_GB2312" w:hAnsi="仿宋" w:eastAsia="仿宋_GB2312" w:cs="仿宋"/>
          <w:color w:val="000000"/>
          <w:sz w:val="32"/>
          <w:szCs w:val="32"/>
          <w:shd w:val="clear" w:color="auto" w:fill="FFFFFF"/>
        </w:rPr>
        <w:instrText xml:space="preserve"> HYPERLINK "http://www.gov.cn/zhengce/zhengceku/2020-05/19/5512916/files/d9675ad1ad87434c89b54a44506bec0a.docx" \t "http://www.gov.cn/zhengce/zhengceku/2020-05/19/_blank" </w:instrText>
      </w:r>
      <w:r>
        <w:rPr>
          <w:rFonts w:hint="eastAsia" w:ascii="仿宋_GB2312" w:hAnsi="仿宋" w:eastAsia="仿宋_GB2312" w:cs="仿宋"/>
          <w:color w:val="000000"/>
          <w:sz w:val="32"/>
          <w:szCs w:val="32"/>
          <w:shd w:val="clear" w:color="auto" w:fill="FFFFFF"/>
        </w:rPr>
        <w:fldChar w:fldCharType="separate"/>
      </w:r>
      <w:r>
        <w:rPr>
          <w:rFonts w:hint="eastAsia" w:ascii="仿宋_GB2312" w:hAnsi="仿宋" w:eastAsia="仿宋_GB2312" w:cs="仿宋"/>
          <w:color w:val="000000"/>
          <w:sz w:val="32"/>
          <w:szCs w:val="32"/>
          <w:shd w:val="clear" w:color="auto" w:fill="FFFFFF"/>
        </w:rPr>
        <w:t>医疗机构废弃物专项整治执法案件汇总表</w:t>
      </w:r>
      <w:r>
        <w:rPr>
          <w:rFonts w:hint="eastAsia" w:ascii="仿宋_GB2312" w:hAnsi="仿宋" w:eastAsia="仿宋_GB2312" w:cs="仿宋"/>
          <w:color w:val="000000"/>
          <w:sz w:val="32"/>
          <w:szCs w:val="32"/>
          <w:shd w:val="clear" w:color="auto" w:fill="FFFFFF"/>
        </w:rPr>
        <w:fldChar w:fldCharType="end"/>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p>
      <w:pPr>
        <w:spacing w:line="280" w:lineRule="exact"/>
        <w:rPr>
          <w:rFonts w:hint="eastAsia"/>
          <w:sz w:val="30"/>
        </w:rPr>
      </w:pPr>
    </w:p>
    <w:tbl>
      <w:tblPr>
        <w:tblStyle w:val="6"/>
        <w:tblW w:w="9466" w:type="dxa"/>
        <w:jc w:val="center"/>
        <w:tblInd w:w="0" w:type="dxa"/>
        <w:tblLayout w:type="fixed"/>
        <w:tblCellMar>
          <w:top w:w="15" w:type="dxa"/>
          <w:left w:w="15" w:type="dxa"/>
          <w:bottom w:w="15" w:type="dxa"/>
          <w:right w:w="15" w:type="dxa"/>
        </w:tblCellMar>
      </w:tblPr>
      <w:tblGrid>
        <w:gridCol w:w="599"/>
        <w:gridCol w:w="1764"/>
        <w:gridCol w:w="1233"/>
        <w:gridCol w:w="2617"/>
        <w:gridCol w:w="278"/>
        <w:gridCol w:w="1522"/>
        <w:gridCol w:w="65"/>
        <w:gridCol w:w="923"/>
        <w:gridCol w:w="465"/>
      </w:tblGrid>
      <w:tr>
        <w:tblPrEx>
          <w:tblLayout w:type="fixed"/>
          <w:tblCellMar>
            <w:top w:w="15" w:type="dxa"/>
            <w:left w:w="15" w:type="dxa"/>
            <w:bottom w:w="15" w:type="dxa"/>
            <w:right w:w="15" w:type="dxa"/>
          </w:tblCellMar>
        </w:tblPrEx>
        <w:trPr>
          <w:trHeight w:val="23" w:hRule="atLeast"/>
          <w:jc w:val="center"/>
        </w:trPr>
        <w:tc>
          <w:tcPr>
            <w:tcW w:w="6491" w:type="dxa"/>
            <w:gridSpan w:val="5"/>
            <w:vAlign w:val="center"/>
          </w:tcPr>
          <w:p>
            <w:pPr>
              <w:spacing w:line="400" w:lineRule="exact"/>
              <w:rPr>
                <w:rFonts w:hint="eastAsia" w:ascii="等线" w:hAnsi="等线" w:eastAsia="等线" w:cs="等线"/>
                <w:color w:val="000000"/>
                <w:sz w:val="22"/>
                <w:szCs w:val="22"/>
              </w:rPr>
            </w:pPr>
            <w:bookmarkStart w:id="0" w:name="_GoBack"/>
            <w:bookmarkEnd w:id="0"/>
            <w:r>
              <w:rPr>
                <w:rFonts w:hint="eastAsia" w:ascii="黑体" w:hAnsi="宋体" w:eastAsia="黑体" w:cs="黑体"/>
                <w:color w:val="000000"/>
                <w:kern w:val="0"/>
                <w:sz w:val="24"/>
                <w:lang w:bidi="ar"/>
              </w:rPr>
              <w:t>附件1</w:t>
            </w:r>
          </w:p>
        </w:tc>
        <w:tc>
          <w:tcPr>
            <w:tcW w:w="1587" w:type="dxa"/>
            <w:gridSpan w:val="2"/>
            <w:vAlign w:val="bottom"/>
          </w:tcPr>
          <w:p>
            <w:pPr>
              <w:spacing w:line="400" w:lineRule="exact"/>
              <w:rPr>
                <w:rFonts w:ascii="等线" w:hAnsi="等线" w:eastAsia="等线" w:cs="等线"/>
                <w:color w:val="000000"/>
                <w:sz w:val="22"/>
                <w:szCs w:val="22"/>
              </w:rPr>
            </w:pPr>
          </w:p>
        </w:tc>
        <w:tc>
          <w:tcPr>
            <w:tcW w:w="1388" w:type="dxa"/>
            <w:gridSpan w:val="2"/>
            <w:vAlign w:val="bottom"/>
          </w:tcPr>
          <w:p>
            <w:pPr>
              <w:spacing w:line="400" w:lineRule="exact"/>
              <w:rPr>
                <w:rFonts w:ascii="等线" w:hAnsi="等线" w:eastAsia="等线" w:cs="等线"/>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9466" w:type="dxa"/>
            <w:gridSpan w:val="9"/>
            <w:tcBorders>
              <w:bottom w:val="nil"/>
            </w:tcBorders>
            <w:vAlign w:val="center"/>
          </w:tcPr>
          <w:p>
            <w:pPr>
              <w:widowControl/>
              <w:spacing w:line="400" w:lineRule="exact"/>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bidi="ar"/>
              </w:rPr>
              <w:t>医疗机构废弃物专项整治主要指标情况表</w:t>
            </w:r>
          </w:p>
        </w:tc>
      </w:tr>
      <w:tr>
        <w:tblPrEx>
          <w:tblLayout w:type="fixed"/>
          <w:tblCellMar>
            <w:top w:w="15" w:type="dxa"/>
            <w:left w:w="15" w:type="dxa"/>
            <w:bottom w:w="15" w:type="dxa"/>
            <w:right w:w="15" w:type="dxa"/>
          </w:tblCellMar>
        </w:tblPrEx>
        <w:trPr>
          <w:trHeight w:val="23" w:hRule="atLeast"/>
          <w:jc w:val="center"/>
        </w:trPr>
        <w:tc>
          <w:tcPr>
            <w:tcW w:w="9466" w:type="dxa"/>
            <w:gridSpan w:val="9"/>
            <w:tcBorders>
              <w:top w:val="nil"/>
              <w:left w:val="nil"/>
              <w:bottom w:val="single" w:color="000000" w:sz="4" w:space="0"/>
              <w:right w:val="nil"/>
            </w:tcBorders>
            <w:vAlign w:val="center"/>
          </w:tcPr>
          <w:p>
            <w:pPr>
              <w:widowControl/>
              <w:spacing w:line="400" w:lineRule="exact"/>
              <w:jc w:val="left"/>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填报单位：                    填报人及电话：</w:t>
            </w: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序号</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工作指标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摸底调查数据</w:t>
            </w: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专项整治后</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bidi="ar"/>
              </w:rPr>
              <w:t>数据</w:t>
            </w: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FF0000"/>
                <w:sz w:val="22"/>
                <w:szCs w:val="22"/>
              </w:rPr>
            </w:pPr>
            <w:r>
              <w:rPr>
                <w:rStyle w:val="7"/>
                <w:rFonts w:hint="default"/>
                <w:lang w:bidi="ar"/>
              </w:rPr>
              <w:t>医疗机构医疗废物</w:t>
            </w:r>
            <w:r>
              <w:rPr>
                <w:rStyle w:val="8"/>
                <w:rFonts w:hint="default"/>
                <w:lang w:bidi="ar"/>
              </w:rPr>
              <w:t>实行分类收集合格率（%）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医疗废物使用专用包装物及容器合格率（%）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未在院内丢弃或非贮存地点堆放医疗废物合格率（%）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医疗废物暂时贮存设施建立合格率（%）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医疗废物交接运送、暂存及处置登记完整合格率（%）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6</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医疗废物交由有资质的单位集中处置率（%）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kern w:val="0"/>
                <w:sz w:val="22"/>
                <w:szCs w:val="22"/>
                <w:lang w:bidi="ar"/>
              </w:rPr>
            </w:pPr>
            <w:r>
              <w:rPr>
                <w:rFonts w:ascii="仿宋" w:hAnsi="仿宋" w:eastAsia="仿宋" w:cs="仿宋"/>
                <w:color w:val="000000"/>
                <w:kern w:val="0"/>
                <w:sz w:val="22"/>
                <w:szCs w:val="22"/>
                <w:lang w:bidi="ar"/>
              </w:rPr>
              <w:t>7</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仿宋"/>
                <w:color w:val="000000"/>
                <w:kern w:val="0"/>
                <w:sz w:val="22"/>
                <w:szCs w:val="22"/>
                <w:lang w:bidi="ar"/>
              </w:rPr>
            </w:pPr>
            <w:r>
              <w:rPr>
                <w:rFonts w:ascii="仿宋" w:hAnsi="仿宋" w:eastAsia="仿宋" w:cs="仿宋"/>
                <w:color w:val="000000"/>
                <w:kern w:val="0"/>
                <w:sz w:val="22"/>
                <w:szCs w:val="22"/>
                <w:lang w:bidi="ar"/>
              </w:rPr>
              <w:t>医疗机构执行转移联单制度的比例（%）</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ascii="仿宋" w:hAnsi="仿宋" w:eastAsia="仿宋" w:cs="仿宋"/>
                <w:color w:val="000000"/>
                <w:kern w:val="0"/>
                <w:sz w:val="22"/>
                <w:szCs w:val="22"/>
                <w:lang w:bidi="ar"/>
              </w:rPr>
              <w:t>8</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医疗废物集中处置单位数（个）</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ascii="仿宋" w:hAnsi="仿宋" w:eastAsia="仿宋" w:cs="仿宋"/>
                <w:color w:val="000000"/>
                <w:kern w:val="0"/>
                <w:sz w:val="22"/>
                <w:szCs w:val="22"/>
                <w:lang w:bidi="ar"/>
              </w:rPr>
              <w:t>9</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医疗废物集中处置单位上门收取医疗废物的平均时长（天）</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ascii="仿宋" w:hAnsi="仿宋" w:eastAsia="仿宋" w:cs="仿宋"/>
                <w:color w:val="000000"/>
                <w:sz w:val="22"/>
                <w:szCs w:val="22"/>
              </w:rPr>
              <w:t>10</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医疗废物集中处置能力（</w:t>
            </w:r>
            <w:r>
              <w:rPr>
                <w:rFonts w:ascii="仿宋" w:hAnsi="仿宋" w:eastAsia="仿宋" w:cs="仿宋"/>
                <w:color w:val="000000"/>
                <w:kern w:val="0"/>
                <w:sz w:val="22"/>
                <w:szCs w:val="22"/>
                <w:lang w:bidi="ar"/>
              </w:rPr>
              <w:t>吨</w:t>
            </w:r>
            <w:r>
              <w:rPr>
                <w:rFonts w:hint="eastAsia" w:ascii="仿宋" w:hAnsi="仿宋" w:eastAsia="仿宋" w:cs="仿宋"/>
                <w:color w:val="000000"/>
                <w:kern w:val="0"/>
                <w:sz w:val="22"/>
                <w:szCs w:val="22"/>
                <w:lang w:bidi="ar"/>
              </w:rPr>
              <w:t>/天）</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ascii="仿宋" w:hAnsi="仿宋" w:eastAsia="仿宋" w:cs="仿宋"/>
                <w:color w:val="000000"/>
                <w:kern w:val="0"/>
                <w:sz w:val="22"/>
                <w:szCs w:val="22"/>
                <w:lang w:bidi="ar"/>
              </w:rPr>
              <w:t>11</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医疗废物实际集中处置</w:t>
            </w:r>
            <w:r>
              <w:rPr>
                <w:rFonts w:ascii="仿宋" w:hAnsi="仿宋" w:eastAsia="仿宋" w:cs="仿宋"/>
                <w:color w:val="000000"/>
                <w:kern w:val="0"/>
                <w:sz w:val="22"/>
                <w:szCs w:val="22"/>
                <w:lang w:bidi="ar"/>
              </w:rPr>
              <w:t>量的平均值</w:t>
            </w:r>
            <w:r>
              <w:rPr>
                <w:rFonts w:hint="eastAsia" w:ascii="仿宋" w:hAnsi="仿宋" w:eastAsia="仿宋" w:cs="仿宋"/>
                <w:color w:val="000000"/>
                <w:kern w:val="0"/>
                <w:sz w:val="22"/>
                <w:szCs w:val="22"/>
                <w:lang w:bidi="ar"/>
              </w:rPr>
              <w:t>（</w:t>
            </w:r>
            <w:r>
              <w:rPr>
                <w:rFonts w:ascii="仿宋" w:hAnsi="仿宋" w:eastAsia="仿宋" w:cs="仿宋"/>
                <w:color w:val="000000"/>
                <w:kern w:val="0"/>
                <w:sz w:val="22"/>
                <w:szCs w:val="22"/>
                <w:lang w:bidi="ar"/>
              </w:rPr>
              <w:t>吨</w:t>
            </w:r>
            <w:r>
              <w:rPr>
                <w:rFonts w:hint="eastAsia" w:ascii="仿宋" w:hAnsi="仿宋" w:eastAsia="仿宋" w:cs="仿宋"/>
                <w:color w:val="000000"/>
                <w:kern w:val="0"/>
                <w:sz w:val="22"/>
                <w:szCs w:val="22"/>
                <w:lang w:bidi="ar"/>
              </w:rPr>
              <w:t>/天）</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r>
              <w:rPr>
                <w:rFonts w:ascii="仿宋" w:hAnsi="仿宋" w:eastAsia="仿宋" w:cs="仿宋"/>
                <w:color w:val="000000"/>
                <w:kern w:val="0"/>
                <w:sz w:val="22"/>
                <w:szCs w:val="22"/>
                <w:lang w:bidi="ar"/>
              </w:rPr>
              <w:t>2</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集中处置的医疗废物量占辖区医疗废物产生总量的比例（%）</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kern w:val="0"/>
                <w:sz w:val="22"/>
                <w:szCs w:val="22"/>
                <w:lang w:bidi="ar"/>
              </w:rPr>
            </w:pPr>
            <w:r>
              <w:rPr>
                <w:rFonts w:ascii="仿宋" w:hAnsi="仿宋" w:eastAsia="仿宋" w:cs="仿宋"/>
                <w:color w:val="000000"/>
                <w:kern w:val="0"/>
                <w:sz w:val="22"/>
                <w:szCs w:val="22"/>
                <w:lang w:bidi="ar"/>
              </w:rPr>
              <w:t>13</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kern w:val="0"/>
                <w:sz w:val="22"/>
                <w:szCs w:val="22"/>
                <w:lang w:bidi="ar"/>
              </w:rPr>
            </w:pPr>
            <w:r>
              <w:rPr>
                <w:rFonts w:ascii="仿宋" w:hAnsi="仿宋" w:eastAsia="仿宋" w:cs="仿宋"/>
                <w:color w:val="000000"/>
                <w:kern w:val="0"/>
                <w:sz w:val="22"/>
                <w:szCs w:val="22"/>
                <w:lang w:bidi="ar"/>
              </w:rPr>
              <w:t>医疗废物集中处置单位执行转移联单制度的比例（%）</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r>
              <w:rPr>
                <w:rFonts w:ascii="仿宋" w:hAnsi="仿宋" w:eastAsia="仿宋" w:cs="仿宋"/>
                <w:color w:val="000000"/>
                <w:kern w:val="0"/>
                <w:sz w:val="22"/>
                <w:szCs w:val="22"/>
                <w:lang w:bidi="ar"/>
              </w:rPr>
              <w:t>4</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生活垃圾处置单位上门收取生活垃圾的平均时长（天）</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r>
              <w:rPr>
                <w:rFonts w:ascii="仿宋" w:hAnsi="仿宋" w:eastAsia="仿宋" w:cs="仿宋"/>
                <w:color w:val="000000"/>
                <w:kern w:val="0"/>
                <w:sz w:val="22"/>
                <w:szCs w:val="22"/>
                <w:lang w:bidi="ar"/>
              </w:rPr>
              <w:t>5</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输液瓶袋回收企业上门收取输液瓶袋的平均时长（天）</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r>
              <w:rPr>
                <w:rFonts w:ascii="仿宋" w:hAnsi="仿宋" w:eastAsia="仿宋" w:cs="仿宋"/>
                <w:color w:val="000000"/>
                <w:kern w:val="0"/>
                <w:sz w:val="22"/>
                <w:szCs w:val="22"/>
                <w:lang w:bidi="ar"/>
              </w:rPr>
              <w:t>6</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输液瓶袋回收企业数（个）</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r>
              <w:rPr>
                <w:rFonts w:ascii="仿宋" w:hAnsi="仿宋" w:eastAsia="仿宋" w:cs="仿宋"/>
                <w:color w:val="000000"/>
                <w:kern w:val="0"/>
                <w:sz w:val="22"/>
                <w:szCs w:val="22"/>
                <w:lang w:bidi="ar"/>
              </w:rPr>
              <w:t>7</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输液瓶袋利用企业数（个）</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2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r>
              <w:rPr>
                <w:rFonts w:ascii="仿宋" w:hAnsi="仿宋" w:eastAsia="仿宋" w:cs="仿宋"/>
                <w:color w:val="000000"/>
                <w:kern w:val="0"/>
                <w:sz w:val="22"/>
                <w:szCs w:val="22"/>
                <w:lang w:bidi="ar"/>
              </w:rPr>
              <w:t>8</w:t>
            </w:r>
          </w:p>
        </w:tc>
        <w:tc>
          <w:tcPr>
            <w:tcW w:w="589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输液瓶袋回收利用一体化企业数（个）</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c>
          <w:tcPr>
            <w:tcW w:w="13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400" w:hRule="atLeast"/>
          <w:jc w:val="center"/>
        </w:trPr>
        <w:tc>
          <w:tcPr>
            <w:tcW w:w="9466" w:type="dxa"/>
            <w:gridSpan w:val="9"/>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填表说明：</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1.各指标的统计范围为全省（区、市）。</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2.指标1-</w:t>
            </w:r>
            <w:r>
              <w:rPr>
                <w:rFonts w:ascii="仿宋" w:hAnsi="仿宋" w:eastAsia="仿宋" w:cs="仿宋"/>
                <w:color w:val="000000"/>
                <w:kern w:val="0"/>
                <w:szCs w:val="21"/>
                <w:lang w:bidi="ar"/>
              </w:rPr>
              <w:t>7</w:t>
            </w:r>
            <w:r>
              <w:rPr>
                <w:rFonts w:hint="eastAsia" w:ascii="仿宋" w:hAnsi="仿宋" w:eastAsia="仿宋" w:cs="仿宋"/>
                <w:color w:val="000000"/>
                <w:kern w:val="0"/>
                <w:szCs w:val="21"/>
                <w:lang w:bidi="ar"/>
              </w:rPr>
              <w:t>由卫生健康部门组织填写。</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3.指标</w:t>
            </w:r>
            <w:r>
              <w:rPr>
                <w:rFonts w:ascii="仿宋" w:hAnsi="仿宋" w:eastAsia="仿宋" w:cs="仿宋"/>
                <w:color w:val="000000"/>
                <w:kern w:val="0"/>
                <w:szCs w:val="21"/>
                <w:lang w:bidi="ar"/>
              </w:rPr>
              <w:t>8</w:t>
            </w:r>
            <w:r>
              <w:rPr>
                <w:rFonts w:hint="eastAsia" w:ascii="仿宋" w:hAnsi="仿宋" w:eastAsia="仿宋" w:cs="仿宋"/>
                <w:color w:val="000000"/>
                <w:kern w:val="0"/>
                <w:szCs w:val="21"/>
                <w:lang w:bidi="ar"/>
              </w:rPr>
              <w:t>-1</w:t>
            </w:r>
            <w:r>
              <w:rPr>
                <w:rFonts w:ascii="仿宋" w:hAnsi="仿宋" w:eastAsia="仿宋" w:cs="仿宋"/>
                <w:color w:val="000000"/>
                <w:kern w:val="0"/>
                <w:szCs w:val="21"/>
                <w:lang w:bidi="ar"/>
              </w:rPr>
              <w:t>3</w:t>
            </w:r>
            <w:r>
              <w:rPr>
                <w:rFonts w:hint="eastAsia" w:ascii="仿宋" w:hAnsi="仿宋" w:eastAsia="仿宋" w:cs="仿宋"/>
                <w:color w:val="000000"/>
                <w:kern w:val="0"/>
                <w:szCs w:val="21"/>
                <w:lang w:bidi="ar"/>
              </w:rPr>
              <w:t>由生态环境部门牵头填写，卫生健康部门配合。</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4.指标1</w:t>
            </w:r>
            <w:r>
              <w:rPr>
                <w:rFonts w:ascii="仿宋" w:hAnsi="仿宋" w:eastAsia="仿宋" w:cs="仿宋"/>
                <w:color w:val="000000"/>
                <w:kern w:val="0"/>
                <w:szCs w:val="21"/>
                <w:lang w:bidi="ar"/>
              </w:rPr>
              <w:t>4</w:t>
            </w:r>
            <w:r>
              <w:rPr>
                <w:rFonts w:hint="eastAsia" w:ascii="仿宋" w:hAnsi="仿宋" w:eastAsia="仿宋" w:cs="仿宋"/>
                <w:color w:val="000000"/>
                <w:kern w:val="0"/>
                <w:szCs w:val="21"/>
                <w:lang w:bidi="ar"/>
              </w:rPr>
              <w:t>由住房城乡建设（环卫）部门牵头填写，卫生健康部门配合。</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5.指标1</w:t>
            </w:r>
            <w:r>
              <w:rPr>
                <w:rFonts w:ascii="仿宋" w:hAnsi="仿宋" w:eastAsia="仿宋" w:cs="仿宋"/>
                <w:color w:val="000000"/>
                <w:kern w:val="0"/>
                <w:szCs w:val="21"/>
                <w:lang w:bidi="ar"/>
              </w:rPr>
              <w:t>5</w:t>
            </w:r>
            <w:r>
              <w:rPr>
                <w:rFonts w:hint="eastAsia" w:ascii="仿宋" w:hAnsi="仿宋" w:eastAsia="仿宋" w:cs="仿宋"/>
                <w:color w:val="000000"/>
                <w:kern w:val="0"/>
                <w:szCs w:val="21"/>
                <w:lang w:bidi="ar"/>
              </w:rPr>
              <w:t>-1</w:t>
            </w:r>
            <w:r>
              <w:rPr>
                <w:rFonts w:ascii="仿宋" w:hAnsi="仿宋" w:eastAsia="仿宋" w:cs="仿宋"/>
                <w:color w:val="000000"/>
                <w:kern w:val="0"/>
                <w:szCs w:val="21"/>
                <w:lang w:bidi="ar"/>
              </w:rPr>
              <w:t>6</w:t>
            </w:r>
            <w:r>
              <w:rPr>
                <w:rFonts w:hint="eastAsia" w:ascii="仿宋" w:hAnsi="仿宋" w:eastAsia="仿宋" w:cs="仿宋"/>
                <w:color w:val="000000"/>
                <w:kern w:val="0"/>
                <w:szCs w:val="21"/>
                <w:lang w:bidi="ar"/>
              </w:rPr>
              <w:t>由商务部门牵头填写，卫生健康部门配合。</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6.指标1</w:t>
            </w:r>
            <w:r>
              <w:rPr>
                <w:rFonts w:ascii="仿宋" w:hAnsi="仿宋" w:eastAsia="仿宋" w:cs="仿宋"/>
                <w:color w:val="000000"/>
                <w:kern w:val="0"/>
                <w:szCs w:val="21"/>
                <w:lang w:bidi="ar"/>
              </w:rPr>
              <w:t>7</w:t>
            </w:r>
            <w:r>
              <w:rPr>
                <w:rFonts w:hint="eastAsia" w:ascii="仿宋" w:hAnsi="仿宋" w:eastAsia="仿宋" w:cs="仿宋"/>
                <w:color w:val="000000"/>
                <w:kern w:val="0"/>
                <w:szCs w:val="21"/>
                <w:lang w:bidi="ar"/>
              </w:rPr>
              <w:t>由工业和信息化部门牵头填写，卫生健康部门配合。</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7.指标1</w:t>
            </w:r>
            <w:r>
              <w:rPr>
                <w:rFonts w:ascii="仿宋" w:hAnsi="仿宋" w:eastAsia="仿宋" w:cs="仿宋"/>
                <w:color w:val="000000"/>
                <w:kern w:val="0"/>
                <w:szCs w:val="21"/>
                <w:lang w:bidi="ar"/>
              </w:rPr>
              <w:t>8</w:t>
            </w:r>
            <w:r>
              <w:rPr>
                <w:rFonts w:hint="eastAsia" w:ascii="仿宋" w:hAnsi="仿宋" w:eastAsia="仿宋" w:cs="仿宋"/>
                <w:color w:val="000000"/>
                <w:kern w:val="0"/>
                <w:szCs w:val="21"/>
                <w:lang w:bidi="ar"/>
              </w:rPr>
              <w:t>由商务、工业和信息化部门共同填写，卫生健康部门配合。</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8.“摸底调查数据”的时间节点是2020年5月底；“专项整治后数据”的时间节点是2020年11月底。</w:t>
            </w:r>
          </w:p>
        </w:tc>
      </w:tr>
      <w:tr>
        <w:tblPrEx>
          <w:tblLayout w:type="fixed"/>
          <w:tblCellMar>
            <w:top w:w="15" w:type="dxa"/>
            <w:left w:w="15" w:type="dxa"/>
            <w:bottom w:w="15" w:type="dxa"/>
            <w:right w:w="15" w:type="dxa"/>
          </w:tblCellMar>
        </w:tblPrEx>
        <w:trPr>
          <w:trHeight w:val="400" w:hRule="atLeast"/>
          <w:jc w:val="center"/>
        </w:trPr>
        <w:tc>
          <w:tcPr>
            <w:tcW w:w="9466" w:type="dxa"/>
            <w:gridSpan w:val="9"/>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trHeight w:val="400" w:hRule="atLeast"/>
          <w:jc w:val="center"/>
        </w:trPr>
        <w:tc>
          <w:tcPr>
            <w:tcW w:w="9466" w:type="dxa"/>
            <w:gridSpan w:val="9"/>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 w:hAnsi="仿宋" w:eastAsia="仿宋" w:cs="仿宋"/>
                <w:color w:val="000000"/>
                <w:sz w:val="22"/>
                <w:szCs w:val="22"/>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lang w:bidi="ar"/>
              </w:rPr>
              <w:t>附件2</w:t>
            </w:r>
          </w:p>
        </w:tc>
        <w:tc>
          <w:tcPr>
            <w:tcW w:w="1233" w:type="dxa"/>
            <w:vAlign w:val="bottom"/>
          </w:tcPr>
          <w:p>
            <w:pPr>
              <w:rPr>
                <w:rFonts w:hint="eastAsia" w:ascii="等线" w:hAnsi="等线" w:eastAsia="等线" w:cs="等线"/>
                <w:color w:val="000000"/>
                <w:sz w:val="22"/>
                <w:szCs w:val="22"/>
              </w:rPr>
            </w:pPr>
          </w:p>
        </w:tc>
        <w:tc>
          <w:tcPr>
            <w:tcW w:w="2617" w:type="dxa"/>
            <w:vAlign w:val="bottom"/>
          </w:tcPr>
          <w:p>
            <w:pPr>
              <w:rPr>
                <w:rFonts w:ascii="等线" w:hAnsi="等线" w:eastAsia="等线" w:cs="等线"/>
                <w:color w:val="000000"/>
                <w:sz w:val="22"/>
                <w:szCs w:val="22"/>
              </w:rPr>
            </w:pPr>
          </w:p>
        </w:tc>
        <w:tc>
          <w:tcPr>
            <w:tcW w:w="1800" w:type="dxa"/>
            <w:gridSpan w:val="2"/>
            <w:vAlign w:val="bottom"/>
          </w:tcPr>
          <w:p>
            <w:pPr>
              <w:rPr>
                <w:rFonts w:ascii="等线" w:hAnsi="等线" w:eastAsia="等线" w:cs="等线"/>
                <w:color w:val="000000"/>
                <w:sz w:val="22"/>
                <w:szCs w:val="22"/>
              </w:rPr>
            </w:pPr>
          </w:p>
        </w:tc>
        <w:tc>
          <w:tcPr>
            <w:tcW w:w="988" w:type="dxa"/>
            <w:gridSpan w:val="2"/>
            <w:vAlign w:val="bottom"/>
          </w:tcPr>
          <w:p>
            <w:pPr>
              <w:rPr>
                <w:rFonts w:ascii="等线" w:hAnsi="等线" w:eastAsia="等线" w:cs="等线"/>
                <w:color w:val="000000"/>
                <w:sz w:val="22"/>
                <w:szCs w:val="22"/>
              </w:rPr>
            </w:pPr>
          </w:p>
        </w:tc>
      </w:tr>
      <w:tr>
        <w:tblPrEx>
          <w:tblLayout w:type="fixed"/>
          <w:tblCellMar>
            <w:top w:w="15" w:type="dxa"/>
            <w:left w:w="15" w:type="dxa"/>
            <w:bottom w:w="15" w:type="dxa"/>
            <w:right w:w="15" w:type="dxa"/>
          </w:tblCellMar>
        </w:tblPrEx>
        <w:trPr>
          <w:gridAfter w:val="1"/>
          <w:wAfter w:w="465" w:type="dxa"/>
          <w:trHeight w:val="1245" w:hRule="atLeast"/>
          <w:jc w:val="center"/>
        </w:trPr>
        <w:tc>
          <w:tcPr>
            <w:tcW w:w="9001" w:type="dxa"/>
            <w:gridSpan w:val="8"/>
            <w:tcBorders>
              <w:bottom w:val="nil"/>
            </w:tcBorders>
            <w:vAlign w:val="center"/>
          </w:tcPr>
          <w:p>
            <w:pPr>
              <w:widowControl/>
              <w:jc w:val="center"/>
              <w:textAlignment w:val="center"/>
              <w:rPr>
                <w:rFonts w:ascii="新宋体" w:hAnsi="新宋体" w:eastAsia="新宋体" w:cs="新宋体"/>
                <w:b/>
                <w:color w:val="000000"/>
                <w:sz w:val="36"/>
                <w:szCs w:val="36"/>
              </w:rPr>
            </w:pPr>
            <w:r>
              <w:rPr>
                <w:rFonts w:hint="eastAsia" w:ascii="新宋体" w:hAnsi="新宋体" w:eastAsia="新宋体" w:cs="新宋体"/>
                <w:b/>
                <w:color w:val="000000"/>
                <w:kern w:val="0"/>
                <w:sz w:val="36"/>
                <w:szCs w:val="36"/>
                <w:lang w:bidi="ar"/>
              </w:rPr>
              <w:t>医疗机构废弃物专项整治执法案件汇总表</w:t>
            </w:r>
          </w:p>
        </w:tc>
      </w:tr>
      <w:tr>
        <w:tblPrEx>
          <w:tblLayout w:type="fixed"/>
          <w:tblCellMar>
            <w:top w:w="15" w:type="dxa"/>
            <w:left w:w="15" w:type="dxa"/>
            <w:bottom w:w="15" w:type="dxa"/>
            <w:right w:w="15" w:type="dxa"/>
          </w:tblCellMar>
        </w:tblPrEx>
        <w:trPr>
          <w:gridAfter w:val="1"/>
          <w:wAfter w:w="465" w:type="dxa"/>
          <w:trHeight w:val="810" w:hRule="atLeast"/>
          <w:jc w:val="center"/>
        </w:trPr>
        <w:tc>
          <w:tcPr>
            <w:tcW w:w="9001" w:type="dxa"/>
            <w:gridSpan w:val="8"/>
            <w:tcBorders>
              <w:top w:val="nil"/>
              <w:left w:val="nil"/>
              <w:bottom w:val="single" w:color="000000" w:sz="4" w:space="0"/>
              <w:right w:val="nil"/>
            </w:tcBorders>
            <w:vAlign w:val="center"/>
          </w:tcPr>
          <w:p>
            <w:pPr>
              <w:widowControl/>
              <w:ind w:firstLine="241" w:firstLineChars="100"/>
              <w:jc w:val="left"/>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填报单位：                    填报人及电话：</w:t>
            </w: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处理情况</w:t>
            </w:r>
          </w:p>
        </w:tc>
        <w:tc>
          <w:tcPr>
            <w:tcW w:w="1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医疗机构</w:t>
            </w:r>
          </w:p>
        </w:tc>
        <w:tc>
          <w:tcPr>
            <w:tcW w:w="2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医疗废物集中处置单位</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其他单位或个人</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备注</w:t>
            </w: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检查单位数</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案件数</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责令改正数</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通报批评数</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警告数</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罚款户（人）次</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罚款金额（万元）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没收违法所得（万元）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吊销行政许可资质</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移送公安机关</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645" w:hRule="atLeast"/>
          <w:jc w:val="center"/>
        </w:trPr>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曝光违法单位数</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26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r>
      <w:tr>
        <w:tblPrEx>
          <w:tblLayout w:type="fixed"/>
          <w:tblCellMar>
            <w:top w:w="15" w:type="dxa"/>
            <w:left w:w="15" w:type="dxa"/>
            <w:bottom w:w="15" w:type="dxa"/>
            <w:right w:w="15" w:type="dxa"/>
          </w:tblCellMar>
        </w:tblPrEx>
        <w:trPr>
          <w:gridAfter w:val="1"/>
          <w:wAfter w:w="465" w:type="dxa"/>
          <w:trHeight w:val="870" w:hRule="atLeast"/>
          <w:jc w:val="center"/>
        </w:trPr>
        <w:tc>
          <w:tcPr>
            <w:tcW w:w="9001" w:type="dxa"/>
            <w:gridSpan w:val="8"/>
            <w:tcBorders>
              <w:top w:val="single" w:color="000000" w:sz="4" w:space="0"/>
            </w:tcBorders>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注：如查处案件的对象是“其他单位或个人”，请在“备注”栏简要说明是何种单位个人。</w:t>
            </w:r>
          </w:p>
        </w:tc>
      </w:tr>
    </w:tbl>
    <w:p/>
    <w:p/>
    <w:sectPr>
      <w:footerReference r:id="rId3" w:type="default"/>
      <w:footerReference r:id="rId4" w:type="even"/>
      <w:pgSz w:w="11906" w:h="16838"/>
      <w:pgMar w:top="1440" w:right="1588" w:bottom="1440"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szCs w:val="28"/>
      </w:rPr>
      <w:tab/>
    </w: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5</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F62B5"/>
    <w:rsid w:val="733F6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jc w:val="left"/>
    </w:pPr>
    <w:rPr>
      <w:rFonts w:ascii="Calibri" w:hAnsi="Calibri"/>
      <w:kern w:val="0"/>
      <w:sz w:val="24"/>
    </w:rPr>
  </w:style>
  <w:style w:type="character" w:styleId="5">
    <w:name w:val="page number"/>
    <w:basedOn w:val="4"/>
    <w:uiPriority w:val="0"/>
  </w:style>
  <w:style w:type="character" w:customStyle="1" w:styleId="7">
    <w:name w:val="font11"/>
    <w:qFormat/>
    <w:uiPriority w:val="0"/>
    <w:rPr>
      <w:rFonts w:hint="eastAsia" w:ascii="仿宋" w:hAnsi="仿宋" w:eastAsia="仿宋" w:cs="仿宋"/>
      <w:color w:val="FF0000"/>
      <w:sz w:val="22"/>
      <w:szCs w:val="22"/>
      <w:u w:val="none"/>
    </w:rPr>
  </w:style>
  <w:style w:type="character" w:customStyle="1" w:styleId="8">
    <w:name w:val="font2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2020-08-03T07:32:00Z</dcterms:created>
  <dc:creator>lenovo</dc:creator>
  <cp:lastModifiedBy>lenovo</cp:lastModifiedBy>
  <dcterms:modified xsi:type="dcterms:W3CDTF">2020-08-03T07:33:16Z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