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跨部门联合“双随机”抽查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执法人员、市场主体选派（抽取）记录单</w:t>
      </w:r>
    </w:p>
    <w:bookmarkEnd w:id="0"/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抽查单位：                  实施时间：    年   月  日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00"/>
        <w:gridCol w:w="1671"/>
        <w:gridCol w:w="288"/>
        <w:gridCol w:w="1290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随机摇号产生检查人员及其执法证号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随机“摇号”产生检查对象名称及地址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实施抽查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单位意见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“摇号”经办人签字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现场监督人员签字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5746"/>
    <w:rsid w:val="774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before="100" w:beforeAutospacing="1" w:after="120"/>
      <w:ind w:left="420" w:leftChars="200" w:firstLine="420" w:firstLineChars="200"/>
    </w:pPr>
    <w:rPr>
      <w:rFonts w:ascii="Times New Roman" w:hAnsi="Calibri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2020-07-02T02:26:00Z</dcterms:created>
  <dc:creator>许利峰</dc:creator>
  <cp:lastModifiedBy>许利峰</cp:lastModifiedBy>
  <dcterms:modified xsi:type="dcterms:W3CDTF">2020-07-02T02:27:44Z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