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hint="eastAsia" w:eastAsia="宋体"/>
          <w:color w:val="auto"/>
          <w:sz w:val="36"/>
          <w:szCs w:val="36"/>
          <w:lang w:eastAsia="zh-CN"/>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color w:val="auto"/>
          <w:sz w:val="36"/>
          <w:szCs w:val="36"/>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ind w:left="0" w:leftChars="0" w:right="0"/>
        <w:jc w:val="both"/>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hint="default" w:ascii="仿宋_GB2312" w:eastAsia="仿宋_GB2312"/>
          <w:color w:val="auto"/>
          <w:sz w:val="32"/>
          <w:szCs w:val="32"/>
          <w:lang w:val="en"/>
        </w:rPr>
      </w:pPr>
      <w:r>
        <w:rPr>
          <w:rFonts w:hint="eastAsia" w:ascii="仿宋_GB2312" w:eastAsia="仿宋_GB2312"/>
          <w:color w:val="auto"/>
          <w:sz w:val="32"/>
          <w:szCs w:val="32"/>
        </w:rPr>
        <w:t>平医保发〔</w:t>
      </w:r>
      <w:r>
        <w:rPr>
          <w:rFonts w:hint="eastAsia" w:ascii="仿宋_GB2312" w:hAnsi="宋体" w:eastAsia="仿宋_GB2312" w:cs="宋体"/>
          <w:color w:val="auto"/>
          <w:sz w:val="32"/>
          <w:szCs w:val="32"/>
        </w:rPr>
        <w:t>20</w:t>
      </w:r>
      <w:r>
        <w:rPr>
          <w:rFonts w:hint="eastAsia" w:ascii="仿宋_GB2312" w:hAnsi="宋体" w:eastAsia="仿宋_GB2312" w:cs="宋体"/>
          <w:color w:val="auto"/>
          <w:sz w:val="32"/>
          <w:szCs w:val="32"/>
          <w:lang w:val="en-US" w:eastAsia="zh-CN"/>
        </w:rPr>
        <w:t>21〕54</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center"/>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center"/>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center"/>
        <w:textAlignment w:val="auto"/>
        <w:outlineLvl w:val="9"/>
        <w:rPr>
          <w:rFonts w:hint="default" w:ascii="仿宋_GB2312" w:eastAsia="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center"/>
        <w:textAlignment w:val="auto"/>
        <w:outlineLvl w:val="9"/>
        <w:rPr>
          <w:rFonts w:hint="eastAsia" w:ascii="仿宋_GB2312" w:eastAsia="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平罗县医疗保障局关于进一</w:t>
      </w: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步做好医保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电子凭证推广应用工作的通知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各协议医疗机构、协议零售药店：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了进一步推进医保电子凭证激活应用工作，平罗县医疗保障局会同建设银行等第三方金融机构和微信等合作渠道，在协议医疗机构、零售药店的大力支持下，采取多种途径，全力推进医保电子凭证激活应用工作，取得了一定的工作成效，截止</w:t>
      </w:r>
      <w:r>
        <w:rPr>
          <w:rFonts w:hint="eastAsia" w:ascii="仿宋_GB2312" w:hAnsi="仿宋_GB2312" w:eastAsia="仿宋_GB2312" w:cs="仿宋_GB2312"/>
          <w:color w:val="auto"/>
          <w:sz w:val="32"/>
          <w:szCs w:val="32"/>
          <w:lang w:val="en-US" w:eastAsia="zh-CN"/>
        </w:rPr>
        <w:t>5月31日，我县医保电子凭证激活率27.97%，比全区总体激活率低6.53%，</w:t>
      </w:r>
      <w:r>
        <w:rPr>
          <w:rFonts w:hint="eastAsia" w:ascii="仿宋_GB2312" w:hAnsi="仿宋_GB2312" w:eastAsia="仿宋_GB2312" w:cs="仿宋_GB2312"/>
          <w:color w:val="auto"/>
          <w:sz w:val="32"/>
          <w:szCs w:val="32"/>
          <w:lang w:eastAsia="zh-CN"/>
        </w:rPr>
        <w:t>距离自治区医保局要求的目标任务</w:t>
      </w:r>
      <w:r>
        <w:rPr>
          <w:rFonts w:hint="eastAsia" w:ascii="仿宋_GB2312" w:hAnsi="仿宋_GB2312" w:eastAsia="仿宋_GB2312" w:cs="仿宋_GB2312"/>
          <w:color w:val="auto"/>
          <w:sz w:val="32"/>
          <w:szCs w:val="32"/>
          <w:lang w:val="en-US" w:eastAsia="zh-CN"/>
        </w:rPr>
        <w:t>还有较大距离。为了加速推进我县医保电子凭证推广应用工作，确保按期完成激活目标任务，方便参保人员就医购药结算，结合我县当前工作实际，现就有关事项通知如下：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一、充分认识医保电子凭证推广的重要意义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医保电子凭证是全国统一的医保信息平台的重要组成部分,是参保人办理医保业务的身份凭证，由国家医保信息平台统一生成，全面适用于就医、购药、缴费等各项业务。全面推广应用医保电子凭证，是提升医保公共服务能力和水平的必然要求，是让人民群众享受更优质、更便捷医保服务的现实需要，是提高医保治理能力、完善便民服务体系、促进“互联网+医保”发展的具体体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根据自治区医保局确定的激活目标任务，</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2021年末，全县医保电子凭证激活率达到参保人数的70%（205818人），为加速推进我县医保电子凭证推广应用，现对我县各医药机构完成医保电子凭证激活日均任务数量予以明确。(见附件1）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（一）我局会同建设银行等医保电子凭证合作清算银行，在新冠疫苗接种点和留观区开展医保电子凭证现场激活工作，各接种点医疗机构要积极配合，并安排至少1名本院职工引导群众积极激活医保电子凭证。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（二）各医疗机构要将医保电子凭证推广纳入日常工作予以安排部署，利用电子屏、宣传展板等加强氛围营造，在</w:t>
      </w:r>
      <w:r>
        <w:rPr>
          <w:rFonts w:hint="eastAsia" w:ascii="仿宋_GB2312" w:hAnsi="仿宋_GB2312" w:eastAsia="仿宋_GB2312" w:cs="仿宋_GB2312"/>
          <w:b w:val="0"/>
          <w:bCs w:val="0"/>
          <w:i w:val="0"/>
          <w:iCs w:val="0"/>
          <w:caps w:val="0"/>
          <w:color w:val="auto"/>
          <w:spacing w:val="0"/>
          <w:sz w:val="32"/>
          <w:szCs w:val="32"/>
          <w:shd w:val="clear" w:fill="FFFFFF"/>
        </w:rPr>
        <w:t>收费窗口、住院结算窗口张贴“请使用医保电子凭证结算”</w:t>
      </w:r>
      <w:r>
        <w:rPr>
          <w:rFonts w:hint="eastAsia" w:ascii="仿宋_GB2312" w:hAnsi="仿宋_GB2312" w:eastAsia="仿宋_GB2312" w:cs="仿宋_GB2312"/>
          <w:b w:val="0"/>
          <w:bCs w:val="0"/>
          <w:i w:val="0"/>
          <w:iCs w:val="0"/>
          <w:caps w:val="0"/>
          <w:color w:val="auto"/>
          <w:spacing w:val="0"/>
          <w:sz w:val="32"/>
          <w:szCs w:val="32"/>
          <w:shd w:val="clear" w:fill="FFFFFF"/>
          <w:lang w:eastAsia="zh-CN"/>
        </w:rPr>
        <w:t>提示语，</w:t>
      </w:r>
      <w:r>
        <w:rPr>
          <w:rFonts w:hint="eastAsia" w:ascii="仿宋_GB2312" w:hAnsi="仿宋_GB2312" w:eastAsia="仿宋_GB2312" w:cs="仿宋_GB2312"/>
          <w:b w:val="0"/>
          <w:bCs w:val="0"/>
          <w:i w:val="0"/>
          <w:iCs w:val="0"/>
          <w:caps w:val="0"/>
          <w:color w:val="auto"/>
          <w:spacing w:val="0"/>
          <w:sz w:val="32"/>
          <w:szCs w:val="32"/>
          <w:shd w:val="clear" w:fill="FFFFFF"/>
        </w:rPr>
        <w:t>并优先推荐使用医保电子凭证进行结算</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安排人员在群众挂号、候诊、就医、购药等环节开展医保电子码激活，各医疗机构在每月向我局报送对账单的同时，必须报送本单位加盖公章的月度激活量统计表，（见附件2）我局随机电话抽查核实，对于弄虚作假的单位群内通报批评，并给与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（三）各协议零售药店要制定医保电子凭证推广计划，按照本店员工人数，分配电子医保凭证指标任务，形成千斤重担人人挑、个个肩上有指标的工作格局；在醒目位置</w:t>
      </w:r>
      <w:r>
        <w:rPr>
          <w:rFonts w:hint="eastAsia" w:ascii="仿宋_GB2312" w:hAnsi="仿宋_GB2312" w:eastAsia="仿宋_GB2312" w:cs="仿宋_GB2312"/>
          <w:b w:val="0"/>
          <w:bCs w:val="0"/>
          <w:i w:val="0"/>
          <w:iCs w:val="0"/>
          <w:caps w:val="0"/>
          <w:color w:val="auto"/>
          <w:spacing w:val="0"/>
          <w:sz w:val="32"/>
          <w:szCs w:val="32"/>
          <w:shd w:val="clear" w:fill="FFFFFF"/>
        </w:rPr>
        <w:t>张贴“请使用医保电子凭证结算”</w:t>
      </w:r>
      <w:r>
        <w:rPr>
          <w:rFonts w:hint="eastAsia" w:ascii="仿宋_GB2312" w:hAnsi="仿宋_GB2312" w:eastAsia="仿宋_GB2312" w:cs="仿宋_GB2312"/>
          <w:b w:val="0"/>
          <w:bCs w:val="0"/>
          <w:i w:val="0"/>
          <w:iCs w:val="0"/>
          <w:caps w:val="0"/>
          <w:color w:val="auto"/>
          <w:spacing w:val="0"/>
          <w:sz w:val="32"/>
          <w:szCs w:val="32"/>
          <w:shd w:val="clear" w:fill="FFFFFF"/>
          <w:lang w:eastAsia="zh-CN"/>
        </w:rPr>
        <w:t>提示语，</w:t>
      </w:r>
      <w:r>
        <w:rPr>
          <w:rFonts w:hint="eastAsia" w:ascii="仿宋_GB2312" w:hAnsi="仿宋_GB2312" w:eastAsia="仿宋_GB2312" w:cs="仿宋_GB2312"/>
          <w:b w:val="0"/>
          <w:bCs w:val="0"/>
          <w:i w:val="0"/>
          <w:iCs w:val="0"/>
          <w:caps w:val="0"/>
          <w:color w:val="auto"/>
          <w:spacing w:val="0"/>
          <w:sz w:val="32"/>
          <w:szCs w:val="32"/>
          <w:shd w:val="clear" w:fill="FFFFFF"/>
        </w:rPr>
        <w:t>优先推荐使用医保电子凭证进行结算</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各医疗机构在每月向我局报送对账单的同时，必须报送本单位月度激活量统计表（见附件2），对于弄虚作假的单位群内通报批评，并给与相应处理。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充分利用注册微信推广员赚取红包，推进医保电子凭证推广激活。所有人用微信扫推广员招募二维码进行简单注册后，即成为推广员，并生成自己唯一的二维码，让其他未用微信激活医保电子凭证的人员，用微信扫自己的推广员二维码激活医保电子凭证，推广员即可获得2-3元红包，奖励金额总体无上限，每天限制提现2次，超过提现次数，次日可继续提现，每次提现最高金额为60元。（推广员招募二维码见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利用医保电子凭证亲情账户绑定，推进医保电子凭证激活。为丰富医保电子凭证应用场景，方便老年人、未成年人使用医保电子凭证就医购药，国家医保服务平台APP推出“医保亲情账户”功能，各协议医疗机构、零售药店要充分利用医保电子凭证亲情账户绑定利好政策，积极引导指导就医购药参保人员绑定激活，快速提高我县医保电子凭证激活率，让广大群众享受更加便捷的医保服务。（绑定流程见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以用促激，打通服务群众“最后一公里”。激活医保电子凭证，最终目的是为了方便群众看病就医使用，各协议医疗机构、零售药店是医保电子凭证使用的终端，要站在为民服务的高度主动畅通医保电子凭证使用途径，配置扫码设备，指导群众使用医保电子凭证快捷就医购药，提升群众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四、工作要求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i w:val="0"/>
          <w:iCs w:val="0"/>
          <w:caps w:val="0"/>
          <w:color w:val="auto"/>
          <w:spacing w:val="0"/>
          <w:sz w:val="32"/>
          <w:szCs w:val="32"/>
          <w:shd w:val="clear" w:fill="FFFFFF"/>
          <w:lang w:eastAsia="zh-CN"/>
        </w:rPr>
        <w:t>强化</w:t>
      </w:r>
      <w:r>
        <w:rPr>
          <w:rFonts w:hint="eastAsia" w:ascii="楷体_GB2312" w:hAnsi="楷体_GB2312" w:eastAsia="楷体_GB2312" w:cs="楷体_GB2312"/>
          <w:b/>
          <w:bCs/>
          <w:i w:val="0"/>
          <w:iCs w:val="0"/>
          <w:caps w:val="0"/>
          <w:color w:val="auto"/>
          <w:spacing w:val="0"/>
          <w:sz w:val="32"/>
          <w:szCs w:val="32"/>
          <w:shd w:val="clear" w:fill="FFFFFF"/>
        </w:rPr>
        <w:t>组织领导。</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i w:val="0"/>
          <w:iCs w:val="0"/>
          <w:caps w:val="0"/>
          <w:color w:val="auto"/>
          <w:spacing w:val="0"/>
          <w:sz w:val="32"/>
          <w:szCs w:val="32"/>
          <w:shd w:val="clear" w:fill="FFFFFF"/>
          <w:lang w:eastAsia="zh-CN"/>
        </w:rPr>
        <w:t>协议医疗机构、零售药店要安排一名分管领导或店面负责人专门负责此项工作，根据</w:t>
      </w:r>
      <w:r>
        <w:rPr>
          <w:rFonts w:hint="eastAsia" w:ascii="仿宋_GB2312" w:hAnsi="仿宋_GB2312" w:eastAsia="仿宋_GB2312" w:cs="仿宋_GB2312"/>
          <w:i w:val="0"/>
          <w:iCs w:val="0"/>
          <w:caps w:val="0"/>
          <w:color w:val="auto"/>
          <w:spacing w:val="0"/>
          <w:sz w:val="32"/>
          <w:szCs w:val="32"/>
          <w:shd w:val="clear" w:fill="FFFFFF"/>
        </w:rPr>
        <w:t>本单位实际制定切实有效的工作推进计划，分解</w:t>
      </w:r>
      <w:r>
        <w:rPr>
          <w:rFonts w:hint="eastAsia" w:ascii="仿宋_GB2312" w:hAnsi="仿宋_GB2312" w:eastAsia="仿宋_GB2312" w:cs="仿宋_GB2312"/>
          <w:i w:val="0"/>
          <w:iCs w:val="0"/>
          <w:caps w:val="0"/>
          <w:color w:val="auto"/>
          <w:spacing w:val="0"/>
          <w:sz w:val="32"/>
          <w:szCs w:val="32"/>
          <w:shd w:val="clear" w:fill="FFFFFF"/>
          <w:lang w:eastAsia="zh-CN"/>
        </w:rPr>
        <w:t>工作</w:t>
      </w:r>
      <w:r>
        <w:rPr>
          <w:rFonts w:hint="eastAsia" w:ascii="仿宋_GB2312" w:hAnsi="仿宋_GB2312" w:eastAsia="仿宋_GB2312" w:cs="仿宋_GB2312"/>
          <w:i w:val="0"/>
          <w:iCs w:val="0"/>
          <w:caps w:val="0"/>
          <w:color w:val="auto"/>
          <w:spacing w:val="0"/>
          <w:sz w:val="32"/>
          <w:szCs w:val="32"/>
          <w:shd w:val="clear" w:fill="FFFFFF"/>
        </w:rPr>
        <w:t>任务，</w:t>
      </w:r>
      <w:r>
        <w:rPr>
          <w:rFonts w:hint="eastAsia" w:ascii="仿宋_GB2312" w:hAnsi="仿宋_GB2312" w:eastAsia="仿宋_GB2312" w:cs="仿宋_GB2312"/>
          <w:i w:val="0"/>
          <w:iCs w:val="0"/>
          <w:caps w:val="0"/>
          <w:color w:val="auto"/>
          <w:spacing w:val="0"/>
          <w:sz w:val="32"/>
          <w:szCs w:val="32"/>
          <w:shd w:val="clear" w:fill="FFFFFF"/>
          <w:lang w:eastAsia="zh-CN"/>
        </w:rPr>
        <w:t>压实工作责任，</w:t>
      </w:r>
      <w:r>
        <w:rPr>
          <w:rFonts w:hint="eastAsia" w:ascii="仿宋_GB2312" w:hAnsi="仿宋_GB2312" w:eastAsia="仿宋_GB2312" w:cs="仿宋_GB2312"/>
          <w:i w:val="0"/>
          <w:iCs w:val="0"/>
          <w:caps w:val="0"/>
          <w:color w:val="auto"/>
          <w:spacing w:val="0"/>
          <w:sz w:val="32"/>
          <w:szCs w:val="32"/>
          <w:shd w:val="clear" w:fill="FFFFFF"/>
        </w:rPr>
        <w:t>确保医保电子凭证推广应用工作</w:t>
      </w:r>
      <w:r>
        <w:rPr>
          <w:rFonts w:hint="eastAsia" w:ascii="仿宋_GB2312" w:hAnsi="仿宋_GB2312" w:eastAsia="仿宋_GB2312" w:cs="仿宋_GB2312"/>
          <w:i w:val="0"/>
          <w:iCs w:val="0"/>
          <w:caps w:val="0"/>
          <w:color w:val="auto"/>
          <w:spacing w:val="0"/>
          <w:sz w:val="32"/>
          <w:szCs w:val="32"/>
          <w:shd w:val="clear" w:fill="FFFFFF"/>
          <w:lang w:eastAsia="zh-CN"/>
        </w:rPr>
        <w:t>快速推进</w:t>
      </w:r>
      <w:r>
        <w:rPr>
          <w:rFonts w:hint="eastAsia" w:ascii="仿宋_GB2312" w:hAnsi="仿宋_GB2312" w:eastAsia="仿宋_GB2312" w:cs="仿宋_GB2312"/>
          <w:i w:val="0"/>
          <w:iCs w:val="0"/>
          <w:caps w:val="0"/>
          <w:color w:val="auto"/>
          <w:spacing w:val="0"/>
          <w:sz w:val="32"/>
          <w:szCs w:val="32"/>
          <w:shd w:val="clear" w:fill="FFFFFF"/>
        </w:rPr>
        <w:t>，按时完成目标任务。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（二）强化宣传推广。</w:t>
      </w:r>
      <w:r>
        <w:rPr>
          <w:rFonts w:hint="eastAsia" w:ascii="仿宋_GB2312" w:hAnsi="仿宋_GB2312" w:eastAsia="仿宋_GB2312" w:cs="仿宋_GB2312"/>
          <w:i w:val="0"/>
          <w:iCs w:val="0"/>
          <w:caps w:val="0"/>
          <w:color w:val="auto"/>
          <w:spacing w:val="0"/>
          <w:sz w:val="32"/>
          <w:szCs w:val="32"/>
          <w:shd w:val="clear" w:fill="FFFFFF"/>
          <w:lang w:val="en-US" w:eastAsia="zh-CN"/>
        </w:rPr>
        <w:t>各协议医药机构要通过电子显示屏、标语、宣传栏宣传海报、宣传折页等多种形式,深入开展医保电子凭证宣传活动,扎实开展线上线下宣传活动,广泛宣传医保电子凭证应用范围及使用操作,</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营造推广应用电子医保码的浓厚氛围，</w:t>
      </w:r>
      <w:r>
        <w:rPr>
          <w:rFonts w:hint="eastAsia" w:ascii="仿宋_GB2312" w:hAnsi="仿宋_GB2312" w:eastAsia="仿宋_GB2312" w:cs="仿宋_GB2312"/>
          <w:i w:val="0"/>
          <w:caps w:val="0"/>
          <w:color w:val="auto"/>
          <w:spacing w:val="0"/>
          <w:sz w:val="32"/>
          <w:szCs w:val="32"/>
          <w:shd w:val="clear" w:fill="FFFFFF"/>
        </w:rPr>
        <w:t>让广大群众了解医保电子凭证是什么、怎么</w:t>
      </w:r>
      <w:r>
        <w:rPr>
          <w:rFonts w:hint="eastAsia" w:ascii="仿宋_GB2312" w:hAnsi="仿宋_GB2312" w:eastAsia="仿宋_GB2312" w:cs="仿宋_GB2312"/>
          <w:i w:val="0"/>
          <w:caps w:val="0"/>
          <w:color w:val="auto"/>
          <w:spacing w:val="0"/>
          <w:sz w:val="32"/>
          <w:szCs w:val="32"/>
          <w:shd w:val="clear" w:fill="FFFFFF"/>
          <w:lang w:val="en-US" w:eastAsia="zh-CN"/>
        </w:rPr>
        <w:t>用</w:t>
      </w:r>
      <w:r>
        <w:rPr>
          <w:rFonts w:hint="eastAsia" w:ascii="仿宋_GB2312" w:hAnsi="仿宋_GB2312" w:eastAsia="仿宋_GB2312" w:cs="仿宋_GB2312"/>
          <w:i w:val="0"/>
          <w:caps w:val="0"/>
          <w:color w:val="auto"/>
          <w:spacing w:val="0"/>
          <w:sz w:val="32"/>
          <w:szCs w:val="32"/>
          <w:shd w:val="clear" w:fill="FFFFFF"/>
        </w:rPr>
        <w:t>，解决不敢用、不会用、用不惯的问题</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让“一码在手、医保无忧”深入人心。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（三）强化责任落实。</w:t>
      </w:r>
      <w:r>
        <w:rPr>
          <w:rFonts w:hint="eastAsia" w:ascii="仿宋_GB2312" w:hAnsi="仿宋_GB2312" w:eastAsia="仿宋_GB2312" w:cs="仿宋_GB2312"/>
          <w:b w:val="0"/>
          <w:bCs w:val="0"/>
          <w:i w:val="0"/>
          <w:iCs w:val="0"/>
          <w:caps w:val="0"/>
          <w:color w:val="auto"/>
          <w:spacing w:val="0"/>
          <w:sz w:val="32"/>
          <w:szCs w:val="32"/>
          <w:shd w:val="clear" w:fill="FFFFFF"/>
        </w:rPr>
        <w:t>各</w:t>
      </w:r>
      <w:r>
        <w:rPr>
          <w:rFonts w:hint="eastAsia" w:ascii="仿宋_GB2312" w:hAnsi="仿宋_GB2312" w:eastAsia="仿宋_GB2312" w:cs="仿宋_GB2312"/>
          <w:b w:val="0"/>
          <w:bCs w:val="0"/>
          <w:i w:val="0"/>
          <w:iCs w:val="0"/>
          <w:caps w:val="0"/>
          <w:color w:val="auto"/>
          <w:spacing w:val="0"/>
          <w:sz w:val="32"/>
          <w:szCs w:val="32"/>
          <w:shd w:val="clear" w:fill="FFFFFF"/>
          <w:lang w:eastAsia="zh-CN"/>
        </w:rPr>
        <w:t>协议</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医疗机构、零售药店要加强人员培训，特别是窗口结算人员要熟练掌握微信等各主要接入渠道医保电子凭证激活流程，</w:t>
      </w:r>
      <w:r>
        <w:rPr>
          <w:rFonts w:hint="eastAsia" w:ascii="仿宋_GB2312" w:hAnsi="仿宋_GB2312" w:eastAsia="仿宋_GB2312" w:cs="仿宋_GB2312"/>
          <w:b w:val="0"/>
          <w:bCs w:val="0"/>
          <w:i w:val="0"/>
          <w:iCs w:val="0"/>
          <w:caps w:val="0"/>
          <w:color w:val="auto"/>
          <w:spacing w:val="0"/>
          <w:sz w:val="32"/>
          <w:szCs w:val="32"/>
          <w:shd w:val="clear" w:fill="FFFFFF"/>
        </w:rPr>
        <w:t>在</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参保人挂号就医、购药结算时</w:t>
      </w:r>
      <w:r>
        <w:rPr>
          <w:rFonts w:hint="eastAsia" w:ascii="仿宋_GB2312" w:hAnsi="仿宋_GB2312" w:eastAsia="仿宋_GB2312" w:cs="仿宋_GB2312"/>
          <w:b w:val="0"/>
          <w:bCs w:val="0"/>
          <w:i w:val="0"/>
          <w:iCs w:val="0"/>
          <w:caps w:val="0"/>
          <w:color w:val="auto"/>
          <w:spacing w:val="0"/>
          <w:sz w:val="32"/>
          <w:szCs w:val="32"/>
          <w:shd w:val="clear" w:fill="FFFFFF"/>
        </w:rPr>
        <w:t>优先推荐使用医保电子凭证进行结算</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在参保人不会操作使用医保电子凭证时，能够及时正确加以指导，提高群众满意度和获得感；各乡镇卫生院要落实归口领导责任，负责做好所管辖村卫生室医保电子凭证的激活使用和宣传培训工作，确保纵向到底，不留死角。</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（四）强化督促指导。</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各</w:t>
      </w:r>
      <w:r>
        <w:rPr>
          <w:rFonts w:hint="eastAsia" w:ascii="仿宋_GB2312" w:hAnsi="仿宋_GB2312" w:eastAsia="仿宋_GB2312" w:cs="仿宋_GB2312"/>
          <w:b w:val="0"/>
          <w:bCs w:val="0"/>
          <w:i w:val="0"/>
          <w:iCs w:val="0"/>
          <w:caps w:val="0"/>
          <w:color w:val="auto"/>
          <w:spacing w:val="0"/>
          <w:sz w:val="32"/>
          <w:szCs w:val="32"/>
          <w:shd w:val="clear" w:fill="FFFFFF"/>
          <w:lang w:eastAsia="zh-CN"/>
        </w:rPr>
        <w:t>协议</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医疗机构、零售药店要认真按照《通知》要求，对工作任务进行再次分工，按月报送本单位《</w:t>
      </w:r>
      <w:r>
        <w:rPr>
          <w:rFonts w:hint="eastAsia" w:ascii="仿宋_GB2312" w:hAnsi="仿宋_GB2312" w:eastAsia="仿宋_GB2312" w:cs="仿宋_GB2312"/>
          <w:color w:val="auto"/>
          <w:sz w:val="32"/>
          <w:szCs w:val="32"/>
          <w:lang w:val="en-US" w:eastAsia="zh-CN"/>
        </w:rPr>
        <w:t>月度激活量统计表</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》。医保局对各单位激活统计表核实，每月通报工作完成情况，对于激活工作扎实有效、完成任务好的单位给与通报表扬，对激活工作推动不力单位，将在医保总额清算时予以相应处罚。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附件：1.医药机构医保电子凭证激活日均任务数</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200" w:right="0" w:rightChars="0" w:firstLine="1190" w:firstLineChars="372"/>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2.</w:t>
      </w:r>
      <w:r>
        <w:rPr>
          <w:rFonts w:hint="eastAsia" w:ascii="仿宋_GB2312" w:hAnsi="仿宋_GB2312" w:eastAsia="仿宋_GB2312" w:cs="仿宋_GB2312"/>
          <w:b w:val="0"/>
          <w:bCs w:val="0"/>
          <w:i w:val="0"/>
          <w:iCs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（医院/药店）医保电子凭证激活表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3.推广员招募二维码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4.医保电子凭证亲情账户绑定流程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0" w:firstLineChars="14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 w:eastAsia="zh-CN"/>
        </w:rPr>
        <w:t>平罗县医疗保障局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0" w:firstLineChars="14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2021年6月17日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0" w:firstLineChars="14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tabs>
          <w:tab w:val="left" w:pos="1716"/>
        </w:tabs>
        <w:kinsoku/>
        <w:wordWrap/>
        <w:overflowPunct/>
        <w:topLinePunct w:val="0"/>
        <w:autoSpaceDE/>
        <w:autoSpaceDN/>
        <w:bidi w:val="0"/>
        <w:adjustRightInd/>
        <w:snapToGrid/>
        <w:jc w:val="left"/>
        <w:rPr>
          <w:rFonts w:hint="eastAsia"/>
          <w:color w:val="auto"/>
          <w:lang w:val="en-US" w:eastAsia="zh-CN"/>
        </w:rPr>
      </w:pPr>
      <w:r>
        <w:rPr>
          <w:rFonts w:hint="eastAsia"/>
          <w:color w:val="auto"/>
          <w:lang w:val="en-US" w:eastAsia="zh-CN"/>
        </w:rPr>
        <w:tab/>
      </w:r>
    </w:p>
    <w:tbl>
      <w:tblPr>
        <w:tblStyle w:val="8"/>
        <w:tblW w:w="84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3"/>
        <w:gridCol w:w="2460"/>
        <w:gridCol w:w="1035"/>
        <w:gridCol w:w="825"/>
        <w:gridCol w:w="238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83" w:type="dxa"/>
            <w:gridSpan w:val="6"/>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both"/>
              <w:textAlignment w:val="center"/>
              <w:rPr>
                <w:rFonts w:hint="eastAsia" w:ascii="黑体" w:hAnsi="黑体" w:eastAsia="黑体" w:cs="黑体"/>
                <w:b w:val="0"/>
                <w:bCs/>
                <w:i w:val="0"/>
                <w:color w:val="auto"/>
                <w:kern w:val="0"/>
                <w:sz w:val="32"/>
                <w:szCs w:val="32"/>
                <w:u w:val="none"/>
                <w:lang w:val="en-US" w:eastAsia="zh-CN" w:bidi="ar"/>
              </w:rPr>
            </w:pPr>
            <w:r>
              <w:rPr>
                <w:rFonts w:hint="eastAsia" w:ascii="黑体" w:hAnsi="黑体" w:eastAsia="黑体" w:cs="黑体"/>
                <w:b w:val="0"/>
                <w:bCs/>
                <w:i w:val="0"/>
                <w:color w:val="auto"/>
                <w:kern w:val="0"/>
                <w:sz w:val="32"/>
                <w:szCs w:val="32"/>
                <w:u w:val="none"/>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b w:val="0"/>
                <w:bCs/>
                <w:i w:val="0"/>
                <w:color w:val="auto"/>
                <w:kern w:val="0"/>
                <w:sz w:val="36"/>
                <w:szCs w:val="36"/>
                <w:u w:val="none"/>
                <w:lang w:val="en-US" w:eastAsia="zh-CN" w:bidi="ar"/>
              </w:rPr>
            </w:pPr>
            <w:r>
              <w:rPr>
                <w:rFonts w:hint="eastAsia" w:ascii="方正小标宋简体" w:hAnsi="方正小标宋简体" w:eastAsia="方正小标宋简体" w:cs="方正小标宋简体"/>
                <w:b w:val="0"/>
                <w:bCs/>
                <w:i w:val="0"/>
                <w:color w:val="auto"/>
                <w:kern w:val="0"/>
                <w:sz w:val="36"/>
                <w:szCs w:val="36"/>
                <w:u w:val="none"/>
                <w:lang w:val="en-US" w:eastAsia="zh-CN" w:bidi="ar"/>
              </w:rPr>
              <w:t>医药机构医保电子凭证激活日均任务数</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b w:val="0"/>
                <w:bCs/>
                <w:i w:val="0"/>
                <w:color w:val="auto"/>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序号</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t>任务数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i w:val="0"/>
                <w:color w:val="auto"/>
                <w:kern w:val="0"/>
                <w:sz w:val="24"/>
                <w:szCs w:val="24"/>
                <w:u w:val="none"/>
                <w:lang w:val="en-US" w:eastAsia="zh-CN" w:bidi="ar"/>
              </w:rPr>
              <w:t>任务数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平罗县人民医院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60人/日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城关镇中心卫生院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平罗县中医医院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30人/日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渠口乡卫生院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平罗县妇幼保健所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eastAsia" w:ascii="Times New Roman" w:hAnsi="Times New Roman" w:eastAsia="宋体" w:cs="Times New Roman"/>
                <w:i w:val="0"/>
                <w:color w:val="auto"/>
                <w:kern w:val="0"/>
                <w:sz w:val="24"/>
                <w:szCs w:val="24"/>
                <w:u w:val="none"/>
                <w:lang w:val="en-US" w:eastAsia="zh-CN" w:bidi="ar"/>
              </w:rPr>
              <w:t>15</w:t>
            </w:r>
            <w:r>
              <w:rPr>
                <w:rFonts w:hint="default" w:ascii="Times New Roman" w:hAnsi="Times New Roman" w:eastAsia="宋体" w:cs="Times New Roman"/>
                <w:i w:val="0"/>
                <w:color w:val="auto"/>
                <w:kern w:val="0"/>
                <w:sz w:val="24"/>
                <w:szCs w:val="24"/>
                <w:u w:val="none"/>
                <w:lang w:val="en-US" w:eastAsia="zh-CN" w:bidi="ar"/>
              </w:rPr>
              <w:t>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沙湖中心卫生院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4</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宁夏银北医院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15人/日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东街社区卫生服务站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5</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头闸镇中心卫生院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唐徕社区卫生服务站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6</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宝丰镇卫生院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新区社区卫生服务站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7</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崇岗镇中心卫生院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城关社区卫生服务站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8</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陶乐镇中心卫生院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太西社区卫生服务站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9</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高庄乡卫生院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宁夏中健骨科医院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通伏乡卫生院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29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平罗县海勇医院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11</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黄渠桥镇中心卫生院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平罗县友谊医院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12</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灵沙乡卫生院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平罗协和医院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13</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高仁乡卫生院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平罗九洲医院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14</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红崖子卫生院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平罗广德医院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姚伏镇中心卫生院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8人/日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平罗爱康医院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16</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平罗县保安堂中医院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平罗古城医院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平罗县徐秀琴诊所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平罗县杨生海诊所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平罗县城康福诊所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平罗县华城诊所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19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平罗县城西华苑诊所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bidi="ar"/>
              </w:rPr>
              <w:t>38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平罗县华康诊所</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各协议零售药店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5人/日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宋体" w:cs="Times New Roman"/>
                <w:b/>
                <w:i w:val="0"/>
                <w:color w:val="auto"/>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宋体" w:cs="Times New Roman"/>
                <w:i w:val="0"/>
                <w:color w:val="auto"/>
                <w:sz w:val="24"/>
                <w:szCs w:val="24"/>
                <w:u w:val="none"/>
              </w:rPr>
            </w:pPr>
          </w:p>
        </w:tc>
      </w:tr>
    </w:tbl>
    <w:p>
      <w:pPr>
        <w:keepNext w:val="0"/>
        <w:keepLines w:val="0"/>
        <w:pageBreakBefore w:val="0"/>
        <w:widowControl w:val="0"/>
        <w:tabs>
          <w:tab w:val="left" w:pos="1716"/>
        </w:tabs>
        <w:kinsoku/>
        <w:wordWrap/>
        <w:overflowPunct/>
        <w:topLinePunct w:val="0"/>
        <w:autoSpaceDE/>
        <w:autoSpaceDN/>
        <w:bidi w:val="0"/>
        <w:adjustRightInd/>
        <w:snapToGrid/>
        <w:jc w:val="left"/>
        <w:rPr>
          <w:rFonts w:hint="default"/>
          <w:color w:val="auto"/>
          <w:lang w:val="en-US" w:eastAsia="zh-CN"/>
        </w:rPr>
      </w:pPr>
    </w:p>
    <w:p>
      <w:pPr>
        <w:keepNext w:val="0"/>
        <w:keepLines w:val="0"/>
        <w:pageBreakBefore w:val="0"/>
        <w:widowControl w:val="0"/>
        <w:tabs>
          <w:tab w:val="left" w:pos="1716"/>
        </w:tabs>
        <w:kinsoku/>
        <w:wordWrap/>
        <w:overflowPunct/>
        <w:topLinePunct w:val="0"/>
        <w:autoSpaceDE/>
        <w:autoSpaceDN/>
        <w:bidi w:val="0"/>
        <w:adjustRightInd/>
        <w:snapToGrid/>
        <w:jc w:val="left"/>
        <w:rPr>
          <w:rFonts w:hint="default"/>
          <w:color w:val="auto"/>
          <w:lang w:val="en-US" w:eastAsia="zh-CN"/>
        </w:rPr>
      </w:pPr>
    </w:p>
    <w:p>
      <w:pPr>
        <w:keepNext w:val="0"/>
        <w:keepLines w:val="0"/>
        <w:pageBreakBefore w:val="0"/>
        <w:widowControl w:val="0"/>
        <w:tabs>
          <w:tab w:val="left" w:pos="1716"/>
        </w:tabs>
        <w:kinsoku/>
        <w:wordWrap/>
        <w:overflowPunct/>
        <w:topLinePunct w:val="0"/>
        <w:autoSpaceDE/>
        <w:autoSpaceDN/>
        <w:bidi w:val="0"/>
        <w:adjustRightInd/>
        <w:snapToGrid/>
        <w:jc w:val="left"/>
        <w:rPr>
          <w:rFonts w:hint="default"/>
          <w:color w:val="auto"/>
          <w:lang w:val="en-US" w:eastAsia="zh-CN"/>
        </w:rPr>
        <w:sectPr>
          <w:footerReference r:id="rId4" w:type="first"/>
          <w:footerReference r:id="rId3" w:type="default"/>
          <w:pgSz w:w="11906" w:h="16838"/>
          <w:pgMar w:top="1440" w:right="1800" w:bottom="1440" w:left="1800" w:header="851" w:footer="992" w:gutter="0"/>
          <w:pgNumType w:fmt="numberInDash"/>
          <w:cols w:space="425" w:num="1"/>
          <w:titlePg/>
          <w:docGrid w:type="lines" w:linePitch="312" w:charSpace="0"/>
        </w:sectPr>
      </w:pPr>
    </w:p>
    <w:p>
      <w:pPr>
        <w:keepNext w:val="0"/>
        <w:keepLines w:val="0"/>
        <w:pageBreakBefore w:val="0"/>
        <w:widowControl w:val="0"/>
        <w:tabs>
          <w:tab w:val="left" w:pos="1716"/>
        </w:tabs>
        <w:kinsoku/>
        <w:wordWrap/>
        <w:overflowPunct/>
        <w:topLinePunct w:val="0"/>
        <w:autoSpaceDE/>
        <w:autoSpaceDN/>
        <w:bidi w:val="0"/>
        <w:adjustRightInd/>
        <w:snapToGrid/>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tabs>
          <w:tab w:val="left" w:pos="1716"/>
        </w:tabs>
        <w:kinsoku/>
        <w:wordWrap/>
        <w:overflowPunct/>
        <w:topLinePunct w:val="0"/>
        <w:autoSpaceDE/>
        <w:autoSpaceDN/>
        <w:bidi w:val="0"/>
        <w:adjustRightInd/>
        <w:snapToGrid/>
        <w:jc w:val="left"/>
        <w:rPr>
          <w:rFonts w:hint="default"/>
          <w:color w:val="auto"/>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b w:val="0"/>
          <w:bCs/>
          <w:i w:val="0"/>
          <w:color w:val="auto"/>
          <w:kern w:val="0"/>
          <w:sz w:val="36"/>
          <w:szCs w:val="36"/>
          <w:u w:val="none"/>
          <w:lang w:val="en-US" w:eastAsia="zh-CN" w:bidi="ar"/>
        </w:rPr>
      </w:pPr>
      <w:r>
        <w:rPr>
          <w:rFonts w:hint="eastAsia" w:ascii="方正小标宋简体" w:hAnsi="方正小标宋简体" w:eastAsia="方正小标宋简体" w:cs="方正小标宋简体"/>
          <w:b w:val="0"/>
          <w:bCs/>
          <w:i w:val="0"/>
          <w:color w:val="auto"/>
          <w:kern w:val="0"/>
          <w:sz w:val="36"/>
          <w:szCs w:val="36"/>
          <w:u w:val="none"/>
          <w:lang w:val="en-US" w:eastAsia="zh-CN" w:bidi="ar"/>
        </w:rPr>
        <w:t>________（医院/药店）医保电子凭证激活表</w:t>
      </w:r>
    </w:p>
    <w:p>
      <w:pPr>
        <w:keepNext w:val="0"/>
        <w:keepLines w:val="0"/>
        <w:pageBreakBefore w:val="0"/>
        <w:widowControl w:val="0"/>
        <w:suppressLineNumbers w:val="0"/>
        <w:kinsoku/>
        <w:wordWrap/>
        <w:overflowPunct/>
        <w:topLinePunct w:val="0"/>
        <w:autoSpaceDE/>
        <w:autoSpaceDN/>
        <w:bidi w:val="0"/>
        <w:adjustRightInd/>
        <w:snapToGrid/>
        <w:ind w:left="5040" w:hanging="5040" w:hangingChars="1800"/>
        <w:jc w:val="both"/>
        <w:textAlignment w:val="center"/>
        <w:rPr>
          <w:rFonts w:hint="eastAsia" w:asciiTheme="majorEastAsia" w:hAnsiTheme="majorEastAsia" w:eastAsiaTheme="majorEastAsia" w:cstheme="majorEastAsia"/>
          <w:b w:val="0"/>
          <w:bCs/>
          <w:i w:val="0"/>
          <w:color w:val="auto"/>
          <w:kern w:val="0"/>
          <w:sz w:val="28"/>
          <w:szCs w:val="28"/>
          <w:u w:val="none"/>
          <w:lang w:val="en-US" w:eastAsia="zh-CN" w:bidi="ar"/>
        </w:rPr>
      </w:pPr>
      <w:r>
        <w:rPr>
          <w:rFonts w:hint="eastAsia" w:asciiTheme="majorEastAsia" w:hAnsiTheme="majorEastAsia" w:eastAsiaTheme="majorEastAsia" w:cstheme="majorEastAsia"/>
          <w:b w:val="0"/>
          <w:bCs/>
          <w:i w:val="0"/>
          <w:color w:val="auto"/>
          <w:kern w:val="0"/>
          <w:sz w:val="28"/>
          <w:szCs w:val="28"/>
          <w:u w:val="none"/>
          <w:lang w:val="en-US" w:eastAsia="zh-CN" w:bidi="ar"/>
        </w:rPr>
        <w:t xml:space="preserve">                                                                           时间：     年   月   日 </w:t>
      </w:r>
    </w:p>
    <w:tbl>
      <w:tblPr>
        <w:tblStyle w:val="8"/>
        <w:tblW w:w="83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7"/>
        <w:gridCol w:w="1080"/>
        <w:gridCol w:w="2001"/>
        <w:gridCol w:w="915"/>
        <w:gridCol w:w="135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姓名</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电话号码</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姓名</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电话号码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宋体" w:hAnsi="宋体" w:eastAsia="宋体" w:cs="宋体"/>
                <w:i w:val="0"/>
                <w:color w:val="auto"/>
                <w:sz w:val="28"/>
                <w:szCs w:val="28"/>
                <w:u w:val="none"/>
                <w:lang w:val="en-US" w:eastAsia="zh-CN"/>
              </w:rPr>
            </w:pPr>
            <w:r>
              <w:rPr>
                <w:rFonts w:hint="eastAsia" w:ascii="宋体" w:hAnsi="宋体" w:eastAsia="宋体" w:cs="宋体"/>
                <w:i w:val="0"/>
                <w:color w:val="auto"/>
                <w:sz w:val="28"/>
                <w:szCs w:val="28"/>
                <w:u w:val="none"/>
                <w:lang w:val="en-US" w:eastAsia="zh-CN"/>
              </w:rPr>
              <w:t>31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宋体" w:hAnsi="宋体" w:eastAsia="宋体" w:cs="宋体"/>
                <w:i w:val="0"/>
                <w:color w:val="auto"/>
                <w:sz w:val="28"/>
                <w:szCs w:val="28"/>
                <w:u w:val="none"/>
              </w:rPr>
            </w:pPr>
          </w:p>
        </w:tc>
      </w:tr>
    </w:tbl>
    <w:p>
      <w:pPr>
        <w:keepNext w:val="0"/>
        <w:keepLines w:val="0"/>
        <w:pageBreakBefore w:val="0"/>
        <w:widowControl w:val="0"/>
        <w:tabs>
          <w:tab w:val="left" w:pos="1716"/>
        </w:tabs>
        <w:kinsoku/>
        <w:wordWrap/>
        <w:overflowPunct/>
        <w:topLinePunct w:val="0"/>
        <w:autoSpaceDE/>
        <w:autoSpaceDN/>
        <w:bidi w:val="0"/>
        <w:adjustRightInd/>
        <w:snapToGrid/>
        <w:jc w:val="left"/>
        <w:rPr>
          <w:rFonts w:hint="eastAsia"/>
          <w:color w:val="auto"/>
          <w:lang w:val="en-US" w:eastAsia="zh-CN"/>
        </w:rPr>
        <w:sectPr>
          <w:pgSz w:w="11906" w:h="16838"/>
          <w:pgMar w:top="1440" w:right="1803" w:bottom="1440" w:left="1803" w:header="851" w:footer="992" w:gutter="0"/>
          <w:pgNumType w:fmt="numberInDash"/>
          <w:cols w:space="0" w:num="1"/>
          <w:titlePg/>
          <w:rtlGutter w:val="0"/>
          <w:docGrid w:type="lines" w:linePitch="319" w:charSpace="0"/>
        </w:sectPr>
      </w:pPr>
    </w:p>
    <w:p>
      <w:pPr>
        <w:keepNext w:val="0"/>
        <w:keepLines w:val="0"/>
        <w:pageBreakBefore w:val="0"/>
        <w:widowControl w:val="0"/>
        <w:tabs>
          <w:tab w:val="left" w:pos="1716"/>
        </w:tabs>
        <w:kinsoku/>
        <w:wordWrap/>
        <w:overflowPunct/>
        <w:topLinePunct w:val="0"/>
        <w:autoSpaceDE/>
        <w:autoSpaceDN/>
        <w:bidi w:val="0"/>
        <w:adjustRightInd/>
        <w:snapToGrid/>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tabs>
          <w:tab w:val="left" w:pos="1716"/>
        </w:tabs>
        <w:kinsoku/>
        <w:wordWrap/>
        <w:overflowPunct/>
        <w:topLinePunct w:val="0"/>
        <w:autoSpaceDE/>
        <w:autoSpaceDN/>
        <w:bidi w:val="0"/>
        <w:adjustRightInd/>
        <w:snapToGrid/>
        <w:jc w:val="left"/>
        <w:rPr>
          <w:rFonts w:hint="eastAsia" w:ascii="黑体" w:hAnsi="黑体" w:eastAsia="黑体" w:cs="黑体"/>
          <w:color w:val="auto"/>
          <w:sz w:val="32"/>
          <w:szCs w:val="32"/>
          <w:lang w:val="en-US" w:eastAsia="zh-CN"/>
        </w:rPr>
      </w:pPr>
    </w:p>
    <w:p>
      <w:pPr>
        <w:keepNext w:val="0"/>
        <w:keepLines w:val="0"/>
        <w:pageBreakBefore w:val="0"/>
        <w:widowControl w:val="0"/>
        <w:tabs>
          <w:tab w:val="left" w:pos="1716"/>
        </w:tabs>
        <w:kinsoku/>
        <w:wordWrap/>
        <w:overflowPunct/>
        <w:topLinePunct w:val="0"/>
        <w:autoSpaceDE/>
        <w:autoSpaceDN/>
        <w:bidi w:val="0"/>
        <w:adjustRightInd/>
        <w:snapToGrid/>
        <w:jc w:val="left"/>
        <w:rPr>
          <w:rFonts w:hint="default"/>
          <w:color w:val="auto"/>
          <w:lang w:val="en-US" w:eastAsia="zh-CN"/>
        </w:rPr>
      </w:pPr>
      <w:r>
        <w:rPr>
          <w:rFonts w:hint="default"/>
          <w:color w:val="auto"/>
          <w:lang w:val="en-US" w:eastAsia="zh-CN"/>
        </w:rPr>
        <w:drawing>
          <wp:inline distT="0" distB="0" distL="114300" distR="114300">
            <wp:extent cx="5266690" cy="7176135"/>
            <wp:effectExtent l="0" t="0" r="10160" b="5715"/>
            <wp:docPr id="2" name="图片 2" descr="webwxgetmsgim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webwxgetmsgimg"/>
                    <pic:cNvPicPr>
                      <a:picLocks noChangeAspect="true"/>
                    </pic:cNvPicPr>
                  </pic:nvPicPr>
                  <pic:blipFill>
                    <a:blip r:embed="rId6"/>
                    <a:stretch>
                      <a:fillRect/>
                    </a:stretch>
                  </pic:blipFill>
                  <pic:spPr>
                    <a:xfrm>
                      <a:off x="0" y="0"/>
                      <a:ext cx="5266690" cy="7176135"/>
                    </a:xfrm>
                    <a:prstGeom prst="rect">
                      <a:avLst/>
                    </a:prstGeom>
                  </pic:spPr>
                </pic:pic>
              </a:graphicData>
            </a:graphic>
          </wp:inline>
        </w:drawing>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Theme="minorEastAsia" w:hAnsiTheme="minorEastAsia" w:eastAsiaTheme="minorEastAsia" w:cstheme="minorEastAsia"/>
          <w:b w:val="0"/>
          <w:i w:val="0"/>
          <w:caps w:val="0"/>
          <w:color w:val="auto"/>
          <w:spacing w:val="0"/>
          <w:sz w:val="28"/>
          <w:szCs w:val="28"/>
          <w:shd w:val="clear" w:fill="FFFFFF"/>
        </w:rPr>
      </w:pPr>
      <w:r>
        <w:rPr>
          <w:rFonts w:hint="eastAsia" w:asciiTheme="minorEastAsia" w:hAnsiTheme="minorEastAsia" w:eastAsiaTheme="minorEastAsia" w:cstheme="minorEastAsia"/>
          <w:b w:val="0"/>
          <w:i w:val="0"/>
          <w:caps w:val="0"/>
          <w:color w:val="auto"/>
          <w:spacing w:val="0"/>
          <w:sz w:val="28"/>
          <w:szCs w:val="28"/>
          <w:shd w:val="clear" w:fill="FFFFFF"/>
        </w:rPr>
        <w:drawing>
          <wp:inline distT="0" distB="0" distL="114300" distR="114300">
            <wp:extent cx="9525" cy="9525"/>
            <wp:effectExtent l="0" t="0" r="0" b="0"/>
            <wp:docPr id="6"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true"/>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auto"/>
          <w:spacing w:val="0"/>
          <w:sz w:val="28"/>
          <w:szCs w:val="28"/>
          <w:shd w:val="clear" w:fill="FFFFFF"/>
        </w:rPr>
        <w:drawing>
          <wp:inline distT="0" distB="0" distL="114300" distR="114300">
            <wp:extent cx="9525" cy="9525"/>
            <wp:effectExtent l="0" t="0" r="0" b="0"/>
            <wp:docPr id="4"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true"/>
                    </pic:cNvPicPr>
                  </pic:nvPicPr>
                  <pic:blipFill>
                    <a:blip r:embed="rId7"/>
                    <a:stretch>
                      <a:fillRect/>
                    </a:stretch>
                  </pic:blipFill>
                  <pic:spPr>
                    <a:xfrm>
                      <a:off x="0" y="0"/>
                      <a:ext cx="9525" cy="9525"/>
                    </a:xfrm>
                    <a:prstGeom prst="rect">
                      <a:avLst/>
                    </a:prstGeom>
                    <a:noFill/>
                    <a:ln w="9525">
                      <a:noFill/>
                    </a:ln>
                  </pic:spPr>
                </pic:pic>
              </a:graphicData>
            </a:graphic>
          </wp:inline>
        </w:drawing>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Theme="minorEastAsia" w:hAnsiTheme="minorEastAsia" w:eastAsiaTheme="minorEastAsia" w:cstheme="minorEastAsia"/>
          <w:b w:val="0"/>
          <w:i w:val="0"/>
          <w:caps w:val="0"/>
          <w:color w:val="auto"/>
          <w:spacing w:val="0"/>
          <w:sz w:val="28"/>
          <w:szCs w:val="28"/>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_GB2312" w:hAnsi="仿宋_GB2312" w:eastAsia="仿宋_GB2312" w:cs="仿宋_GB2312"/>
          <w:b w:val="0"/>
          <w:i w:val="0"/>
          <w:caps w:val="0"/>
          <w:color w:val="auto"/>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Times New Roman" w:hAnsi="Times New Roman" w:eastAsia="仿宋_GB2312" w:cs="Times New Roman"/>
          <w:b w:val="0"/>
          <w:i w:val="0"/>
          <w:caps w:val="0"/>
          <w:color w:val="auto"/>
          <w:spacing w:val="0"/>
          <w:sz w:val="32"/>
          <w:szCs w:val="32"/>
          <w:shd w:val="clear" w:fill="FFFFFF"/>
        </w:rPr>
      </w:pPr>
      <w:r>
        <w:rPr>
          <w:rFonts w:hint="default" w:ascii="Times New Roman" w:hAnsi="Times New Roman" w:eastAsia="仿宋_GB2312" w:cs="Times New Roman"/>
          <w:b w:val="0"/>
          <w:i w:val="0"/>
          <w:caps w:val="0"/>
          <w:color w:val="auto"/>
          <w:spacing w:val="0"/>
          <w:sz w:val="32"/>
          <w:szCs w:val="32"/>
          <w:shd w:val="clear" w:fill="FFFFFF"/>
        </w:rPr>
        <w:t>推广员奖励：在用户通过扫描海报的小程序码，小程序卡片等进入激活活动，完成医保电子凭证激活后，推广员即可获得激活奖励，奖励信息将实时展示在推广员活动界面。</w:t>
      </w:r>
      <w:r>
        <w:rPr>
          <w:rFonts w:hint="default" w:ascii="Times New Roman" w:hAnsi="Times New Roman" w:eastAsia="仿宋_GB2312" w:cs="Times New Roman"/>
          <w:b w:val="0"/>
          <w:i w:val="0"/>
          <w:caps w:val="0"/>
          <w:color w:val="auto"/>
          <w:spacing w:val="0"/>
          <w:sz w:val="32"/>
          <w:szCs w:val="32"/>
          <w:shd w:val="clear" w:fill="FFFFFF"/>
        </w:rPr>
        <w:br w:type="textWrapping"/>
      </w:r>
      <w:r>
        <w:rPr>
          <w:rFonts w:hint="default" w:ascii="Times New Roman" w:hAnsi="Times New Roman" w:eastAsia="仿宋_GB2312" w:cs="Times New Roman"/>
          <w:b w:val="0"/>
          <w:i w:val="0"/>
          <w:caps w:val="0"/>
          <w:color w:val="auto"/>
          <w:spacing w:val="0"/>
          <w:sz w:val="32"/>
          <w:szCs w:val="32"/>
          <w:shd w:val="clear" w:fill="FFFFFF"/>
        </w:rPr>
        <w:br w:type="textWrapping"/>
      </w:r>
      <w:r>
        <w:rPr>
          <w:rFonts w:hint="default" w:ascii="Times New Roman" w:hAnsi="Times New Roman" w:eastAsia="仿宋_GB2312" w:cs="Times New Roman"/>
          <w:b w:val="0"/>
          <w:i w:val="0"/>
          <w:caps w:val="0"/>
          <w:color w:val="auto"/>
          <w:spacing w:val="0"/>
          <w:sz w:val="32"/>
          <w:szCs w:val="32"/>
          <w:shd w:val="clear" w:fill="FFFFFF"/>
        </w:rPr>
        <w:drawing>
          <wp:inline distT="0" distB="0" distL="114300" distR="114300">
            <wp:extent cx="9525" cy="9525"/>
            <wp:effectExtent l="0" t="0" r="0" b="0"/>
            <wp:docPr id="7"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true"/>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hint="default" w:ascii="Times New Roman" w:hAnsi="Times New Roman" w:eastAsia="仿宋_GB2312" w:cs="Times New Roman"/>
          <w:b w:val="0"/>
          <w:i w:val="0"/>
          <w:caps w:val="0"/>
          <w:color w:val="auto"/>
          <w:spacing w:val="0"/>
          <w:sz w:val="32"/>
          <w:szCs w:val="32"/>
          <w:shd w:val="clear" w:fill="FFFFFF"/>
        </w:rPr>
        <w:drawing>
          <wp:inline distT="0" distB="0" distL="114300" distR="114300">
            <wp:extent cx="9525" cy="9525"/>
            <wp:effectExtent l="0" t="0" r="0" b="0"/>
            <wp:docPr id="8" name="图片 4" descr="IMG_2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true"/>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hint="default" w:ascii="Times New Roman" w:hAnsi="Times New Roman" w:eastAsia="仿宋_GB2312" w:cs="Times New Roman"/>
          <w:b w:val="0"/>
          <w:i w:val="0"/>
          <w:caps w:val="0"/>
          <w:color w:val="auto"/>
          <w:spacing w:val="0"/>
          <w:sz w:val="32"/>
          <w:szCs w:val="32"/>
          <w:shd w:val="clear" w:fill="FFFFFF"/>
        </w:rPr>
        <w:t>推广员奖励提现：推广用户点击“点此提现”按钮，可提现当前金额。推广奖励将发放至推广用户的微信零钱账户。奖励金额总体无上限，每天限制提现2次，超过提现次数，次日可继续提现。每次提现最高金额为60元，若一次性提现的金额超过60元，则需要客服人员后台审核发放，审核周期1-3个工作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Times New Roman" w:hAnsi="Times New Roman" w:eastAsia="仿宋_GB2312" w:cs="Times New Roman"/>
          <w:b w:val="0"/>
          <w:i w:val="0"/>
          <w:caps w:val="0"/>
          <w:color w:val="auto"/>
          <w:spacing w:val="0"/>
          <w:sz w:val="32"/>
          <w:szCs w:val="32"/>
          <w:lang w:val="en"/>
        </w:rPr>
      </w:pPr>
      <w:r>
        <w:rPr>
          <w:rFonts w:hint="default" w:ascii="Times New Roman" w:hAnsi="Times New Roman" w:eastAsia="仿宋_GB2312" w:cs="Times New Roman"/>
          <w:b w:val="0"/>
          <w:i w:val="0"/>
          <w:caps w:val="0"/>
          <w:color w:val="auto"/>
          <w:spacing w:val="0"/>
          <w:sz w:val="32"/>
          <w:szCs w:val="32"/>
          <w:shd w:val="clear" w:fill="FFFFFF"/>
        </w:rPr>
        <w:br w:type="textWrapping"/>
      </w:r>
      <w:r>
        <w:rPr>
          <w:rFonts w:hint="default" w:ascii="Times New Roman" w:hAnsi="Times New Roman" w:eastAsia="仿宋_GB2312" w:cs="Times New Roman"/>
          <w:b w:val="0"/>
          <w:i w:val="0"/>
          <w:caps w:val="0"/>
          <w:color w:val="auto"/>
          <w:spacing w:val="0"/>
          <w:sz w:val="32"/>
          <w:szCs w:val="32"/>
          <w:shd w:val="clear" w:fill="FFFFFF"/>
        </w:rPr>
        <w:drawing>
          <wp:inline distT="0" distB="0" distL="114300" distR="114300">
            <wp:extent cx="9525" cy="9525"/>
            <wp:effectExtent l="0" t="0" r="0" b="0"/>
            <wp:docPr id="5" name="图片 5" descr="IMG_2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true"/>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hint="default" w:ascii="Times New Roman" w:hAnsi="Times New Roman" w:eastAsia="仿宋_GB2312" w:cs="Times New Roman"/>
          <w:b w:val="0"/>
          <w:i w:val="0"/>
          <w:caps w:val="0"/>
          <w:color w:val="auto"/>
          <w:spacing w:val="0"/>
          <w:sz w:val="32"/>
          <w:szCs w:val="32"/>
          <w:shd w:val="clear" w:fill="FFFFFF"/>
        </w:rPr>
        <w:drawing>
          <wp:inline distT="0" distB="0" distL="114300" distR="114300">
            <wp:extent cx="9525" cy="9525"/>
            <wp:effectExtent l="0" t="0" r="0" b="0"/>
            <wp:docPr id="3" name="图片 6" descr="IMG_2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true"/>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hint="default" w:ascii="Times New Roman" w:hAnsi="Times New Roman" w:eastAsia="仿宋_GB2312" w:cs="Times New Roman"/>
          <w:b w:val="0"/>
          <w:i w:val="0"/>
          <w:caps w:val="0"/>
          <w:color w:val="auto"/>
          <w:spacing w:val="0"/>
          <w:sz w:val="32"/>
          <w:szCs w:val="32"/>
          <w:shd w:val="clear" w:fill="FFFFFF"/>
        </w:rPr>
        <w:t>未激活用户奖励：用户扫码时，将进入激活有奖红包活动，打开红包会获得一个随机红包（最高奖励999元），完成医保电子凭证激活后，即可奖励提现至微信零钱。</w:t>
      </w:r>
    </w:p>
    <w:p>
      <w:pPr>
        <w:keepNext w:val="0"/>
        <w:keepLines w:val="0"/>
        <w:pageBreakBefore w:val="0"/>
        <w:widowControl w:val="0"/>
        <w:tabs>
          <w:tab w:val="left" w:pos="1716"/>
        </w:tabs>
        <w:kinsoku/>
        <w:wordWrap/>
        <w:overflowPunct/>
        <w:topLinePunct w:val="0"/>
        <w:autoSpaceDE/>
        <w:autoSpaceDN/>
        <w:bidi w:val="0"/>
        <w:adjustRightInd/>
        <w:snapToGrid/>
        <w:jc w:val="left"/>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333" w:firstLineChars="0"/>
        <w:jc w:val="left"/>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医保电子凭证亲情账户绑定流程</w:t>
      </w:r>
    </w:p>
    <w:p>
      <w:pPr>
        <w:keepNext w:val="0"/>
        <w:keepLines w:val="0"/>
        <w:pageBreakBefore w:val="0"/>
        <w:widowControl w:val="0"/>
        <w:kinsoku/>
        <w:wordWrap/>
        <w:overflowPunct/>
        <w:topLinePunct w:val="0"/>
        <w:autoSpaceDE/>
        <w:autoSpaceDN/>
        <w:bidi w:val="0"/>
        <w:adjustRightInd/>
        <w:snapToGrid/>
        <w:rPr>
          <w:rFonts w:hint="eastAsia"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亲情账户在添加完成之后，可使用贾婷成员的医保电子凭证相关权益和查询家庭成员的年度医疗费用。亲情账户绑定的具体操作流程如下：</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第一步，通过搜索国家医保服务平台等相关字眼，下载国家医保服务平台APP。</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第二步，打开国家医保服务平台APP，在底部的菜单栏中找到“我的”进入个人中心页面，点击“添加我的家庭成员模块”。界面如图一所示。</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第三步，选择“使用身份证号绑定”，再点击确认按钮，界面内容如图2所示。</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rPr>
          <w:rFonts w:hint="eastAsia" w:ascii="仿宋_GB2312" w:hAnsi="仿宋_GB2312" w:eastAsia="仿宋_GB2312" w:cs="仿宋_GB2312"/>
          <w:color w:val="auto"/>
          <w:sz w:val="32"/>
          <w:szCs w:val="32"/>
          <w:lang w:val="en-US" w:eastAsia="zh-CN"/>
        </w:rPr>
      </w:pPr>
      <w:r>
        <w:rPr>
          <w:rFonts w:hint="default"/>
          <w:color w:val="auto"/>
          <w:lang w:val="en-US" w:eastAsia="zh-CN"/>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83820</wp:posOffset>
            </wp:positionV>
            <wp:extent cx="2421890" cy="5241925"/>
            <wp:effectExtent l="0" t="0" r="16510" b="15875"/>
            <wp:wrapNone/>
            <wp:docPr id="11" name="图片 11"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2"/>
                    <pic:cNvPicPr>
                      <a:picLocks noChangeAspect="true"/>
                    </pic:cNvPicPr>
                  </pic:nvPicPr>
                  <pic:blipFill>
                    <a:blip r:embed="rId8"/>
                    <a:stretch>
                      <a:fillRect/>
                    </a:stretch>
                  </pic:blipFill>
                  <pic:spPr>
                    <a:xfrm>
                      <a:off x="0" y="0"/>
                      <a:ext cx="2421890" cy="5241925"/>
                    </a:xfrm>
                    <a:prstGeom prst="rect">
                      <a:avLst/>
                    </a:prstGeom>
                  </pic:spPr>
                </pic:pic>
              </a:graphicData>
            </a:graphic>
          </wp:anchor>
        </w:drawing>
      </w:r>
      <w:r>
        <w:rPr>
          <w:rFonts w:hint="eastAsia" w:ascii="仿宋_GB2312" w:hAnsi="仿宋_GB2312" w:eastAsia="仿宋_GB2312" w:cs="仿宋_GB2312"/>
          <w:color w:val="auto"/>
          <w:sz w:val="32"/>
          <w:szCs w:val="32"/>
          <w:lang w:val="en-US" w:eastAsia="zh-CN"/>
        </w:rPr>
        <w:drawing>
          <wp:anchor distT="0" distB="0" distL="114300" distR="114300" simplePos="0" relativeHeight="251658240" behindDoc="0" locked="0" layoutInCell="1" allowOverlap="1">
            <wp:simplePos x="0" y="0"/>
            <wp:positionH relativeFrom="column">
              <wp:posOffset>-60325</wp:posOffset>
            </wp:positionH>
            <wp:positionV relativeFrom="paragraph">
              <wp:posOffset>58420</wp:posOffset>
            </wp:positionV>
            <wp:extent cx="2413000" cy="5222875"/>
            <wp:effectExtent l="0" t="0" r="6350" b="15875"/>
            <wp:wrapNone/>
            <wp:docPr id="10" name="图片 10"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true"/>
                    </pic:cNvPicPr>
                  </pic:nvPicPr>
                  <pic:blipFill>
                    <a:blip r:embed="rId9"/>
                    <a:stretch>
                      <a:fillRect/>
                    </a:stretch>
                  </pic:blipFill>
                  <pic:spPr>
                    <a:xfrm>
                      <a:off x="0" y="0"/>
                      <a:ext cx="2413000" cy="52228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rPr>
          <w:rFonts w:hint="default"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tabs>
          <w:tab w:val="left" w:pos="5373"/>
        </w:tabs>
        <w:kinsoku/>
        <w:wordWrap/>
        <w:overflowPunct/>
        <w:topLinePunct w:val="0"/>
        <w:autoSpaceDE/>
        <w:autoSpaceDN/>
        <w:bidi w:val="0"/>
        <w:adjustRightInd/>
        <w:snapToGrid/>
        <w:jc w:val="left"/>
        <w:rPr>
          <w:rFonts w:hint="eastAsia"/>
          <w:color w:val="auto"/>
          <w:lang w:val="en-US" w:eastAsia="zh-CN"/>
        </w:rPr>
      </w:pPr>
      <w:r>
        <w:rPr>
          <w:rFonts w:hint="eastAsia"/>
          <w:color w:val="auto"/>
          <w:lang w:val="en-US" w:eastAsia="zh-CN"/>
        </w:rPr>
        <w:tab/>
      </w:r>
    </w:p>
    <w:p>
      <w:pPr>
        <w:keepNext w:val="0"/>
        <w:keepLines w:val="0"/>
        <w:pageBreakBefore w:val="0"/>
        <w:widowControl w:val="0"/>
        <w:kinsoku/>
        <w:wordWrap/>
        <w:overflowPunct/>
        <w:topLinePunct w:val="0"/>
        <w:autoSpaceDE/>
        <w:autoSpaceDN/>
        <w:bidi w:val="0"/>
        <w:adjustRightInd/>
        <w:snapToGrid/>
        <w:rPr>
          <w:rFonts w:hint="default"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468" w:firstLineChars="0"/>
        <w:jc w:val="left"/>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图1 个人中心界面               图2 选择绑定方式</w:t>
      </w:r>
    </w:p>
    <w:p>
      <w:pPr>
        <w:keepNext w:val="0"/>
        <w:keepLines w:val="0"/>
        <w:pageBreakBefore w:val="0"/>
        <w:widowControl w:val="0"/>
        <w:kinsoku/>
        <w:wordWrap/>
        <w:overflowPunct/>
        <w:topLinePunct w:val="0"/>
        <w:autoSpaceDE/>
        <w:autoSpaceDN/>
        <w:bidi w:val="0"/>
        <w:adjustRightInd/>
        <w:snapToGrid/>
        <w:ind w:firstLine="468" w:firstLineChars="0"/>
        <w:jc w:val="left"/>
        <w:rPr>
          <w:rFonts w:hint="eastAsia"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步，阅读《家庭成员添加告知书》，确认无误后点击我已阅读并同意的按钮后，进入家庭成员信息填写页面，在页面中填写相关信息和材料上传。如果添加的成员小于16周岁，在填入信息时，点击添加账户后，请选择“人脸验证”方式验证。界面如图3所示。</w:t>
      </w:r>
    </w:p>
    <w:p>
      <w:pPr>
        <w:keepNext w:val="0"/>
        <w:keepLines w:val="0"/>
        <w:pageBreakBefore w:val="0"/>
        <w:widowControl w:val="0"/>
        <w:kinsoku/>
        <w:wordWrap/>
        <w:overflowPunct/>
        <w:topLinePunct w:val="0"/>
        <w:autoSpaceDE/>
        <w:autoSpaceDN/>
        <w:bidi w:val="0"/>
        <w:adjustRightInd/>
        <w:snapToGrid/>
        <w:ind w:firstLine="640" w:firstLineChars="200"/>
        <w:jc w:val="left"/>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left"/>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drawing>
          <wp:anchor distT="0" distB="0" distL="114300" distR="114300" simplePos="0" relativeHeight="251660288" behindDoc="0" locked="0" layoutInCell="1" allowOverlap="1">
            <wp:simplePos x="0" y="0"/>
            <wp:positionH relativeFrom="column">
              <wp:posOffset>1539875</wp:posOffset>
            </wp:positionH>
            <wp:positionV relativeFrom="paragraph">
              <wp:posOffset>-77470</wp:posOffset>
            </wp:positionV>
            <wp:extent cx="2258695" cy="4888865"/>
            <wp:effectExtent l="0" t="0" r="8255" b="6985"/>
            <wp:wrapNone/>
            <wp:docPr id="12" name="图片 12" descr="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3"/>
                    <pic:cNvPicPr>
                      <a:picLocks noChangeAspect="true"/>
                    </pic:cNvPicPr>
                  </pic:nvPicPr>
                  <pic:blipFill>
                    <a:blip r:embed="rId10"/>
                    <a:stretch>
                      <a:fillRect/>
                    </a:stretch>
                  </pic:blipFill>
                  <pic:spPr>
                    <a:xfrm>
                      <a:off x="0" y="0"/>
                      <a:ext cx="2258695" cy="48888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rPr>
          <w:rFonts w:hint="default"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图3 填写家庭成员信息</w:t>
      </w:r>
    </w:p>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注意事项：</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（一）激活电子凭证提示：</w:t>
      </w:r>
      <w:r>
        <w:rPr>
          <w:rFonts w:hint="eastAsia" w:ascii="仿宋_GB2312" w:hAnsi="仿宋_GB2312" w:eastAsia="仿宋_GB2312" w:cs="仿宋_GB2312"/>
          <w:b/>
          <w:bCs/>
          <w:color w:val="auto"/>
          <w:sz w:val="32"/>
          <w:szCs w:val="32"/>
          <w:lang w:val="en-US" w:eastAsia="zh-CN"/>
        </w:rPr>
        <w:t>“证件信息无法通过公安库核验，请检查信息是否准确”</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1.检查该人员信息输入是否正确；</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2.若信息正确：</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（1）该人员基本信息和参保信息未上报到国家人基库，各医保部门向自治区医疗保障局反馈；</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（2）该人员信息在国家公安库不存在或信息不一致，无法通过国家公安库核验，可到当地公安咨询人员信息是否已上送到国家公安库。</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（二）激活医保电子凭证提示：</w:t>
      </w:r>
      <w:r>
        <w:rPr>
          <w:rFonts w:hint="eastAsia" w:ascii="仿宋_GB2312" w:hAnsi="仿宋_GB2312" w:eastAsia="仿宋_GB2312" w:cs="仿宋_GB2312"/>
          <w:b/>
          <w:bCs/>
          <w:color w:val="auto"/>
          <w:sz w:val="32"/>
          <w:szCs w:val="32"/>
          <w:lang w:val="en-US" w:eastAsia="zh-CN"/>
        </w:rPr>
        <w:t>“未查询到您的参保信息，可使用国家医保APP反馈相关问题”</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由各医保部门向自治区医疗保障局反馈。</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（三）国家医保APP展码提示：</w:t>
      </w:r>
      <w:r>
        <w:rPr>
          <w:rFonts w:hint="eastAsia" w:ascii="仿宋_GB2312" w:hAnsi="仿宋_GB2312" w:eastAsia="仿宋_GB2312" w:cs="仿宋_GB2312"/>
          <w:b/>
          <w:bCs/>
          <w:color w:val="auto"/>
          <w:sz w:val="32"/>
          <w:szCs w:val="32"/>
          <w:lang w:val="en-US" w:eastAsia="zh-CN"/>
        </w:rPr>
        <w:t>“您已激活医保电子凭证，但系统未查询到您的有效参保记录”</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1.若是无参保地可选择，由各医保部门向自治区医疗保障局反馈；</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2.若有参保地可选择，不影响用户的线下使用。</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（四）国家医保APP提示</w:t>
      </w:r>
      <w:r>
        <w:rPr>
          <w:rFonts w:hint="eastAsia" w:ascii="仿宋_GB2312" w:hAnsi="仿宋_GB2312" w:eastAsia="仿宋_GB2312" w:cs="仿宋_GB2312"/>
          <w:b/>
          <w:bCs/>
          <w:color w:val="auto"/>
          <w:sz w:val="32"/>
          <w:szCs w:val="32"/>
          <w:lang w:val="en-US" w:eastAsia="zh-CN"/>
        </w:rPr>
        <w:t>“身份验证失败，你的比对源照片不够清晰，暂无法使用刷脸认证...”</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到当地公安更新本人照片。</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（五）国家医保APP人脸识别报错，提示</w:t>
      </w:r>
      <w:r>
        <w:rPr>
          <w:rFonts w:hint="eastAsia" w:ascii="仿宋_GB2312" w:hAnsi="仿宋_GB2312" w:eastAsia="仿宋_GB2312" w:cs="仿宋_GB2312"/>
          <w:b/>
          <w:bCs/>
          <w:color w:val="auto"/>
          <w:sz w:val="32"/>
          <w:szCs w:val="32"/>
          <w:lang w:val="en-US" w:eastAsia="zh-CN"/>
        </w:rPr>
        <w:t>“身份验证失败”</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国家医保APP无法识别该人员人脸，可尝试如下解决：</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1.检查输入的信息是否正确；</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2.到当地公安更新本人照片信息。</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rPr>
          <w:rFonts w:hint="eastAsia" w:ascii="仿宋_GB2312" w:hAnsi="仿宋_GB2312" w:eastAsia="仿宋_GB2312" w:cs="仿宋_GB2312"/>
          <w:b w:val="0"/>
          <w:bCs w:val="0"/>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color w:val="auto"/>
          <w:lang w:val="en-US" w:eastAsia="zh-CN"/>
        </w:rPr>
      </w:pPr>
    </w:p>
    <w:p>
      <w:pPr>
        <w:pStyle w:val="2"/>
        <w:keepNext w:val="0"/>
        <w:keepLines w:val="0"/>
        <w:pageBreakBefore w:val="0"/>
        <w:widowControl w:val="0"/>
        <w:kinsoku/>
        <w:wordWrap/>
        <w:overflowPunct/>
        <w:topLinePunct w:val="0"/>
        <w:autoSpaceDE/>
        <w:autoSpaceDN/>
        <w:bidi w:val="0"/>
        <w:adjustRightInd/>
        <w:snapToGrid/>
        <w:rPr>
          <w:rFonts w:hint="default"/>
          <w:color w:val="auto"/>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00" w:lineRule="exact"/>
        <w:ind w:firstLine="280" w:firstLineChars="100"/>
        <w:textAlignment w:val="auto"/>
        <w:rPr>
          <w:rFonts w:hint="default" w:ascii="仿宋_GB2312" w:hAnsi="仿宋_GB2312" w:eastAsia="仿宋_GB2312" w:cs="仿宋_GB2312"/>
          <w:b w:val="0"/>
          <w:bCs w:val="0"/>
          <w:color w:val="auto"/>
          <w:sz w:val="32"/>
          <w:szCs w:val="32"/>
          <w:lang w:val="en-US" w:eastAsia="zh-CN"/>
        </w:rPr>
      </w:pPr>
      <w:r>
        <w:rPr>
          <w:rFonts w:hint="default" w:ascii="Times New Roman" w:hAnsi="Times New Roman" w:eastAsia="仿宋_GB2312" w:cs="Times New Roman"/>
          <w:color w:val="auto"/>
          <w:sz w:val="28"/>
          <w:szCs w:val="28"/>
        </w:rPr>
        <w:t>平罗县</w:t>
      </w:r>
      <w:r>
        <w:rPr>
          <w:rFonts w:hint="default" w:ascii="Times New Roman" w:hAnsi="Times New Roman" w:eastAsia="仿宋_GB2312" w:cs="Times New Roman"/>
          <w:color w:val="auto"/>
          <w:sz w:val="28"/>
          <w:szCs w:val="28"/>
          <w:lang w:eastAsia="zh-CN"/>
        </w:rPr>
        <w:t>医疗</w:t>
      </w:r>
      <w:r>
        <w:rPr>
          <w:rFonts w:hint="default" w:ascii="Times New Roman" w:hAnsi="Times New Roman" w:eastAsia="仿宋_GB2312" w:cs="Times New Roman"/>
          <w:color w:val="auto"/>
          <w:sz w:val="28"/>
          <w:szCs w:val="28"/>
        </w:rPr>
        <w:t>保障局</w:t>
      </w:r>
      <w:r>
        <w:rPr>
          <w:rFonts w:hint="default" w:ascii="Times New Roman" w:hAnsi="Times New Roman" w:eastAsia="仿宋_GB2312" w:cs="Times New Roman"/>
          <w:color w:val="auto"/>
          <w:sz w:val="28"/>
          <w:szCs w:val="28"/>
          <w:lang w:eastAsia="zh-CN"/>
        </w:rPr>
        <w:t>办公室</w:t>
      </w: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w:t>
      </w:r>
      <w:r>
        <w:rPr>
          <w:rFonts w:hint="default" w:ascii="Times New Roman" w:hAnsi="Times New Roman" w:eastAsia="仿宋_GB2312" w:cs="Times New Roman"/>
          <w:color w:val="auto"/>
          <w:sz w:val="28"/>
          <w:szCs w:val="28"/>
          <w:lang w:val="en-US" w:eastAsia="zh-CN"/>
        </w:rPr>
        <w:t>21</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lang w:val="en-US" w:eastAsia="zh-CN"/>
        </w:rPr>
        <w:t>月</w:t>
      </w:r>
      <w:r>
        <w:rPr>
          <w:rFonts w:hint="eastAsia" w:ascii="Times New Roman" w:hAnsi="Times New Roman" w:eastAsia="仿宋_GB2312" w:cs="Times New Roman"/>
          <w:color w:val="auto"/>
          <w:sz w:val="28"/>
          <w:szCs w:val="28"/>
          <w:lang w:val="en-US" w:eastAsia="zh-CN"/>
        </w:rPr>
        <w:t>17</w:t>
      </w:r>
      <w:r>
        <w:rPr>
          <w:rFonts w:hint="default" w:ascii="Times New Roman" w:hAnsi="Times New Roman" w:eastAsia="仿宋_GB2312" w:cs="Times New Roman"/>
          <w:color w:val="auto"/>
          <w:sz w:val="28"/>
          <w:szCs w:val="28"/>
          <w:lang w:val="en-US" w:eastAsia="zh-CN"/>
        </w:rPr>
        <w:t>日印发</w:t>
      </w:r>
    </w:p>
    <w:sectPr>
      <w:pgSz w:w="11906" w:h="16838"/>
      <w:pgMar w:top="1440" w:right="1803" w:bottom="1440" w:left="1803" w:header="851" w:footer="992" w:gutter="0"/>
      <w:pgNumType w:fmt="numberInDash"/>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A6336"/>
    <w:rsid w:val="01AC3941"/>
    <w:rsid w:val="03D2766D"/>
    <w:rsid w:val="07800D2B"/>
    <w:rsid w:val="08DC07B7"/>
    <w:rsid w:val="094C71D6"/>
    <w:rsid w:val="09A17014"/>
    <w:rsid w:val="0A271602"/>
    <w:rsid w:val="0B8C5BE7"/>
    <w:rsid w:val="0D4B7F4D"/>
    <w:rsid w:val="11663854"/>
    <w:rsid w:val="131C021A"/>
    <w:rsid w:val="170D6AF9"/>
    <w:rsid w:val="1B115E03"/>
    <w:rsid w:val="1C68715D"/>
    <w:rsid w:val="1DD85FE6"/>
    <w:rsid w:val="1E0D1E64"/>
    <w:rsid w:val="204655DC"/>
    <w:rsid w:val="24AE662D"/>
    <w:rsid w:val="254C467F"/>
    <w:rsid w:val="2F0D765C"/>
    <w:rsid w:val="30443B02"/>
    <w:rsid w:val="32C054C7"/>
    <w:rsid w:val="3AA44ECD"/>
    <w:rsid w:val="3AD930E7"/>
    <w:rsid w:val="41024419"/>
    <w:rsid w:val="43DBA339"/>
    <w:rsid w:val="459F0B45"/>
    <w:rsid w:val="45CD0E52"/>
    <w:rsid w:val="494D3594"/>
    <w:rsid w:val="4C4B50B8"/>
    <w:rsid w:val="4F810C9B"/>
    <w:rsid w:val="50B04B73"/>
    <w:rsid w:val="527A5247"/>
    <w:rsid w:val="5389403A"/>
    <w:rsid w:val="547605D0"/>
    <w:rsid w:val="569925D1"/>
    <w:rsid w:val="578A6336"/>
    <w:rsid w:val="580303A1"/>
    <w:rsid w:val="5D064989"/>
    <w:rsid w:val="5E556DE9"/>
    <w:rsid w:val="5EBD4898"/>
    <w:rsid w:val="63FF3C85"/>
    <w:rsid w:val="658D544E"/>
    <w:rsid w:val="6676303E"/>
    <w:rsid w:val="6AAA78F0"/>
    <w:rsid w:val="6B6E016A"/>
    <w:rsid w:val="72F32416"/>
    <w:rsid w:val="7506116E"/>
    <w:rsid w:val="792075A3"/>
    <w:rsid w:val="79290F9E"/>
    <w:rsid w:val="7A1F3181"/>
    <w:rsid w:val="7B81178B"/>
    <w:rsid w:val="7EBC4826"/>
    <w:rsid w:val="7FDE0DDC"/>
    <w:rsid w:val="FBED599F"/>
    <w:rsid w:val="FE7F2165"/>
    <w:rsid w:val="FFB1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正文首行缩进 21"/>
    <w:basedOn w:val="11"/>
    <w:qFormat/>
    <w:uiPriority w:val="0"/>
    <w:pPr>
      <w:ind w:firstLine="420" w:firstLineChars="200"/>
    </w:pPr>
  </w:style>
  <w:style w:type="paragraph" w:customStyle="1" w:styleId="11">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GI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437</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2021-06-16T02:14:00Z</dcterms:created>
  <dc:creator>Administrator</dc:creator>
  <cp:lastModifiedBy>kylin</cp:lastModifiedBy>
  <cp:lastPrinted>2021-06-22T09:37:06Z</cp:lastPrinted>
  <dcterms:modified xsi:type="dcterms:W3CDTF">2021-06-22T15:54:40Z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