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黑体" w:eastAsia="方正小标宋_GBK" w:cs="方正小标宋简体"/>
          <w:color w:val="000000"/>
          <w:sz w:val="44"/>
        </w:rPr>
      </w:pPr>
      <w:r>
        <w:rPr>
          <w:rFonts w:hint="eastAsia" w:ascii="方正小标宋_GBK" w:hAnsi="黑体" w:eastAsia="方正小标宋_GBK" w:cs="方正小标宋简体"/>
          <w:color w:val="000000"/>
          <w:sz w:val="44"/>
        </w:rPr>
        <w:t>县人民政府领导班子工作分工</w:t>
      </w:r>
    </w:p>
    <w:p>
      <w:pPr>
        <w:spacing w:line="240" w:lineRule="exact"/>
        <w:ind w:firstLine="1318" w:firstLineChars="547"/>
        <w:rPr>
          <w:rFonts w:hint="eastAsia" w:ascii="方正仿宋_GBK" w:hAnsi="楷体" w:eastAsia="方正仿宋_GBK"/>
          <w:b/>
          <w:color w:val="000000"/>
          <w:sz w:val="24"/>
        </w:rPr>
      </w:pPr>
    </w:p>
    <w:tbl>
      <w:tblPr>
        <w:tblStyle w:val="4"/>
        <w:tblW w:w="151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5614"/>
        <w:gridCol w:w="3802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ind w:firstLine="1318" w:firstLineChars="547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分工</w:t>
            </w:r>
          </w:p>
          <w:p>
            <w:pPr>
              <w:spacing w:line="240" w:lineRule="exact"/>
              <w:rPr>
                <w:rFonts w:hint="eastAsia" w:ascii="方正仿宋_GBK" w:hAnsi="楷体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楷体" w:eastAsia="方正仿宋_GBK"/>
                <w:b/>
                <w:color w:val="000000"/>
                <w:sz w:val="24"/>
              </w:rPr>
              <w:t>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分 管 工 作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分 管 单 位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Calibri" w:eastAsia="方正仿宋_GBK"/>
                <w:b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b/>
                <w:color w:val="000000"/>
                <w:sz w:val="24"/>
              </w:rPr>
              <w:t>联 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马莉方县长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主持县政府全面工作。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编办（事业单位登记管理局）、审计局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pacing w:val="-6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pacing w:val="-6"/>
                <w:szCs w:val="21"/>
              </w:rPr>
              <w:t>人大、政协、人武部、纪委、监委、组织部（老干部局、公务员局）、巡察办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李绍峰副县长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负责政府常务工作，分管安全生产、应急管理、生态环境、山水林田湖草、工业经济和信息化建设、发展改革、招商引资、财税、国有资产管理、诚信建设、信访、三产服务业（新经济新业态）、节能降耗、统计、市政产业、园区建设与开发、非公有制经济、金融服务、国家专项建设基金争取实施等工作；协助县长抓好审计等工作；负责分管和协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财政局（金融工作局）、发展改革局（粮食储备局）、统计局、工信局、应急局、市生态环境局平罗分局、商务经合局、信访局、工业园区管委会、煤炭集中区服务中心、德渊集团；协管审计局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工商联、国家统计局平罗调查队、消防大队、供电公司、盐业公司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杨志平副县长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协助县长工作，协助李绍峰同志抓好招商引资、工业经济和信息化建设、园区建设与开发、非公有制经济等工作；负责协管领域安全生产工作。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协管商务经合局、工信局、工业园区管委会、煤炭集中区服务中心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蒋新录副县长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协助县长工作，分管交通运输、卫生、健康、市场监管、人力资源、社会保障、医疗保障等工作；负责分管领域安全生产工作。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卫生健康局、交通局、市场监管局、人社局、医保局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工会、残联、妇联、团委、关工委、运管所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周福祯副县长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农业农村、住房保障和城乡建设、商贸流通、防震减灾、人防、城市管理、新型城镇化、乡村振兴、农村改革、扶贫开发、农业综合开发等工作；协助李绍峰常务副县长抓好安全生产工作；负责分管和协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农业农村局（扶贫开发服务中心、农发办）、住建局（城市管理综合执法局、地震局、人防办）、农改中心；协管应急管理局、商务经合局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政研室、住房公积金管理部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、邮政公司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、前进农场、烟草公司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李晓坤副县长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协助县长工作，分管自然资源、城乡规划、国土整治、民政救助、退役军人等工作；协助李绍峰常务副县长抓好国防动员工作；负责分管领域安全生产工作。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自然资源局（林草局）、民政局、退役军人局、国土整治指挥部办公室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统战部（民宗局、侨务办、港澳台事务办）、伊协、气象局、各民主党派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郭建军副县长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教育体育、文化、旅游、广播电视、科学技术、创新驱动、政务公开、政务督查、政务服务、政务诚信、“放管服”改革、政府系统作风效能建设、机关事务等工作；协助李绍峰常务副县长抓好互联网城市工作；负责分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政府办（外事办、政务公开办、督查室）、文广局（文物局）、教体局、科技局、行政审批服务局（政务服务中心）、机管中心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县委办（督查室、国家保密局、机要局、档案局）、宣传部（新闻出版局）、网信办、党校、科协、文联、长信局、电信公司、移动公司、联通公司、新华书店、沙湖旅游公司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寇立红副县长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协助县长工作，分管水利、公安、司法行政、涉法涉诉信访、依法治县、平安建设、河长制、供销等工作；负责分管领域安全生产工作。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Calibri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水务局、公安局、司法局、供销社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Calibri" w:eastAsia="方正仿宋_GBK"/>
                <w:color w:val="000000"/>
                <w:spacing w:val="-4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法院、检察院、政法委、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水文局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马  骏副县长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协助县长工作，协助李绍峰常务副县长抓好发展改革等工作；负责协管领域安全生产工作。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协管发展改革局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楷体_GBK" w:hAnsi="楷体" w:eastAsia="方正楷体_GBK"/>
                <w:b/>
                <w:color w:val="000000"/>
                <w:sz w:val="28"/>
                <w:szCs w:val="28"/>
              </w:rPr>
              <w:t>杨永添副县长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协助县长工作，协助李绍峰常务副县长抓好财税、金融服务、国家专项建设基金争取实施等工作；负责协管领域安全生产工作。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协管财政局（金融工作局）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rPr>
                <w:rFonts w:hint="eastAsia" w:ascii="方正仿宋_GBK" w:hAnsi="仿宋" w:eastAsia="方正仿宋_GBK"/>
                <w:color w:val="000000"/>
                <w:szCs w:val="21"/>
              </w:rPr>
            </w:pP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国家税务总局平罗县税务局、人民银行、中国银行、工商银行、农业银行、建设银行、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农业发展银行、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农村商业银行</w:t>
            </w:r>
            <w:r>
              <w:rPr>
                <w:rFonts w:hint="eastAsia" w:ascii="方正仿宋_GBK" w:hAnsi="仿宋" w:eastAsia="方正仿宋_GBK"/>
                <w:color w:val="000000"/>
                <w:spacing w:val="-4"/>
                <w:szCs w:val="21"/>
              </w:rPr>
              <w:t>、石嘴山银行、沙湖村镇银行、宁夏银行、邮政储蓄银行</w:t>
            </w:r>
            <w:r>
              <w:rPr>
                <w:rFonts w:hint="eastAsia" w:ascii="方正仿宋_GBK" w:hAnsi="仿宋" w:eastAsia="方正仿宋_GBK"/>
                <w:color w:val="000000"/>
                <w:szCs w:val="21"/>
              </w:rPr>
              <w:t>、各保险公司</w:t>
            </w:r>
          </w:p>
        </w:tc>
      </w:tr>
    </w:tbl>
    <w:p>
      <w:pPr>
        <w:spacing w:line="260" w:lineRule="exact"/>
        <w:rPr>
          <w:rFonts w:hint="eastAsia" w:eastAsia="方正仿宋_GBK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eastAsia="方正仿宋_GBK"/>
          <w:b/>
          <w:color w:val="000000"/>
          <w:sz w:val="24"/>
        </w:rPr>
        <w:t>备注：李绍峰与周福祯为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岗，杨志平、马骏、杨永添为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岗，蒋新录与李晓坤为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>岗，郭建军与寇立红为</w:t>
      </w:r>
      <w:r>
        <w:rPr>
          <w:rFonts w:eastAsia="方正仿宋_GBK"/>
          <w:b/>
          <w:color w:val="000000"/>
          <w:sz w:val="24"/>
        </w:rPr>
        <w:t>AB</w:t>
      </w:r>
      <w:r>
        <w:rPr>
          <w:rFonts w:hint="eastAsia" w:eastAsia="方正仿宋_GBK"/>
          <w:b/>
          <w:color w:val="000000"/>
          <w:sz w:val="24"/>
        </w:rPr>
        <w:t xml:space="preserve">岗。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B270E"/>
    <w:rsid w:val="45B9068A"/>
    <w:rsid w:val="680516CD"/>
    <w:rsid w:val="799B27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2019-03-14T01:48:00Z</dcterms:created>
  <dc:creator>凉凉</dc:creator>
  <cp:lastModifiedBy>凉凉</cp:lastModifiedBy>
  <dcterms:modified xsi:type="dcterms:W3CDTF">2019-03-14T01:50:01Z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