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560" w:lineRule="exact"/>
        <w:rPr>
          <w:rFonts w:hint="eastAsia" w:ascii="方正黑体_GBK" w:hAnsi="Times New Roman" w:eastAsia="方正黑体_GBK"/>
        </w:rPr>
      </w:pPr>
      <w:r>
        <w:rPr>
          <w:rFonts w:hint="eastAsia" w:ascii="方正黑体_GBK" w:hAnsi="Times New Roman" w:eastAsia="方正黑体_GBK"/>
        </w:rPr>
        <w:t>附件4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市十四届人大四次会议代表建议办理工作责任分工表</w:t>
      </w:r>
    </w:p>
    <w:bookmarkEnd w:id="0"/>
    <w:tbl>
      <w:tblPr>
        <w:tblStyle w:val="5"/>
        <w:tblW w:w="144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8"/>
        <w:gridCol w:w="1213"/>
        <w:gridCol w:w="6242"/>
        <w:gridCol w:w="990"/>
        <w:gridCol w:w="1020"/>
        <w:gridCol w:w="1980"/>
        <w:gridCol w:w="1560"/>
        <w:gridCol w:w="96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Header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立案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案    　　题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办理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责任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责任领导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主办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协办单位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第3号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关于加大稻渔综合种养示范项目支持力度的建议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第13号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关于加强和改进普法工作的建议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寇立红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县司法局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第14号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关于建立我市民营企业问题“直通车”制度的建议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李绍峰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县工信局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第17号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关于氰胺新农化产业发展的建议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李绍峰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县工信局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第22号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关于有效利用健康一体机的建议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蒋新录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县卫健局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第25号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关于为老旧小区多层建筑安装电梯的建议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第27号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关于改善我市农村人居环境的建议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第31号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关于推进发展“互联网+现代农业”的建议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第33号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关于在中小学校普及开展素质拓展训练的建议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县教体局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第36号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关于解决老旧小区供排水供暖管道维修的建议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第39号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关于为全市低保户购买有线电视公共服务的建议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李晓坤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民政局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第54号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关于适当提高村干部养老保险金额的建议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马莉方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县委组织部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color w:val="FF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第57号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关于支持贺兰山平罗段外围及崇岗煤炭集中区综合整治的建议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李绍峰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崇岗镇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崇岗煤炭集中区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发改局</w:t>
            </w:r>
          </w:p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工信局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第58号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关于加大支持园区优化整合 提升基础设施建设力度的建议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李绍峰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平罗工业园区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方正仿宋_GBK"/>
                <w:sz w:val="21"/>
                <w:szCs w:val="21"/>
              </w:rPr>
              <w:t>工信局</w:t>
            </w:r>
          </w:p>
          <w:p>
            <w:pPr>
              <w:pStyle w:val="2"/>
              <w:spacing w:line="240" w:lineRule="exact"/>
              <w:ind w:left="0" w:leftChars="0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方正仿宋_GBK" w:eastAsia="方正仿宋_GBK" w:cs="Times New Roman"/>
                <w:b w:val="0"/>
                <w:bCs w:val="0"/>
                <w:sz w:val="21"/>
                <w:szCs w:val="21"/>
              </w:rPr>
              <w:t>徳渊集团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15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第59号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关于支持平罗县农村闲置宅基地房屋退出整治高效利用的建议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李晓坤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县自然资源局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16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第61号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关于加大平罗县全民健身活动中心建设支持力度的建议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县教体局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发改局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17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第62号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关于支持平罗县六所学校公共教育基础设施建设的建议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郭建军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县教体局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发改局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18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第63号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关于加大农村人居环境综合整治政策支持的建议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19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第64号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关于支持平罗县特色小镇、美丽家园建设的建议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县住建局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20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第65号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关于出台壮大农村集体经济收入扶持政策的建议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21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第66号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关于加大对农作物秸秆综合利用支持力度的建议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22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第67号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关于加快推动平罗县宝丰镇羊产业发展的建议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宝丰镇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23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第68号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关于支持平罗县贫困村环境卫生整治示范项目的建议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主办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周福祯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县农业农村局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各乡镇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kern w:val="0"/>
                <w:sz w:val="21"/>
                <w:szCs w:val="21"/>
              </w:rPr>
              <w:t>24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第71号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00" w:lineRule="exac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关于加强乡镇社区治理及建设的建议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协办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李晓坤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县民政局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  <w:lang w:bidi="ar"/>
              </w:rPr>
              <w:t>各乡镇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47950"/>
    <w:rsid w:val="276479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方正仿宋_GBK" w:cs="Times New Roman"/>
      <w:kern w:val="3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ind w:left="400" w:leftChars="400"/>
      <w:jc w:val="left"/>
      <w:outlineLvl w:val="1"/>
    </w:pPr>
    <w:rPr>
      <w:rFonts w:eastAsia="仿宋" w:cs="宋体"/>
      <w:b/>
      <w:bCs/>
      <w:kern w:val="0"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Tahoma" w:hAnsi="Tahoma"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2019-04-19T07:10:00Z</dcterms:created>
  <dc:creator>凉凉</dc:creator>
  <cp:lastModifiedBy>凉凉</cp:lastModifiedBy>
  <dcterms:modified xsi:type="dcterms:W3CDTF">2019-04-19T07:10:53Z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