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宋体"/>
          <w:sz w:val="32"/>
          <w:szCs w:val="32"/>
        </w:rPr>
      </w:pPr>
      <w:r>
        <w:rPr>
          <w:rFonts w:hint="eastAsia" w:ascii="黑体" w:hAnsi="黑体" w:eastAsia="黑体" w:cs="宋体"/>
          <w:sz w:val="32"/>
          <w:szCs w:val="32"/>
        </w:rPr>
        <w:t>附件1</w:t>
      </w:r>
    </w:p>
    <w:p>
      <w:pPr>
        <w:spacing w:line="50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kern w:val="0"/>
          <w:sz w:val="44"/>
          <w:szCs w:val="44"/>
          <w:lang w:bidi="ar"/>
        </w:rPr>
        <w:t>自治区对县级人民政府履行教育职责评价工作任务分解表</w:t>
      </w:r>
      <w:bookmarkEnd w:id="0"/>
    </w:p>
    <w:tbl>
      <w:tblPr>
        <w:tblStyle w:val="3"/>
        <w:tblW w:w="1459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155"/>
        <w:gridCol w:w="3701"/>
        <w:gridCol w:w="690"/>
        <w:gridCol w:w="3229"/>
        <w:gridCol w:w="1485"/>
        <w:gridCol w:w="1725"/>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125" w:type="dxa"/>
            <w:noWrap w:val="0"/>
            <w:vAlign w:val="center"/>
          </w:tcPr>
          <w:p>
            <w:pPr>
              <w:spacing w:line="280" w:lineRule="exact"/>
              <w:jc w:val="center"/>
              <w:textAlignment w:val="center"/>
              <w:rPr>
                <w:rFonts w:ascii="宋体" w:cs="宋体"/>
                <w:b/>
                <w:szCs w:val="21"/>
              </w:rPr>
            </w:pPr>
            <w:r>
              <w:rPr>
                <w:rFonts w:hint="eastAsia" w:ascii="宋体" w:hAnsi="宋体" w:cs="宋体"/>
                <w:b/>
                <w:kern w:val="0"/>
                <w:szCs w:val="21"/>
              </w:rPr>
              <w:t>一级指标</w:t>
            </w:r>
          </w:p>
        </w:tc>
        <w:tc>
          <w:tcPr>
            <w:tcW w:w="1155" w:type="dxa"/>
            <w:noWrap w:val="0"/>
            <w:vAlign w:val="center"/>
          </w:tcPr>
          <w:p>
            <w:pPr>
              <w:spacing w:line="280" w:lineRule="exact"/>
              <w:jc w:val="center"/>
              <w:textAlignment w:val="center"/>
              <w:rPr>
                <w:rFonts w:ascii="宋体" w:cs="宋体"/>
                <w:b/>
                <w:szCs w:val="21"/>
              </w:rPr>
            </w:pPr>
            <w:r>
              <w:rPr>
                <w:rFonts w:hint="eastAsia" w:ascii="宋体" w:hAnsi="宋体" w:cs="宋体"/>
                <w:b/>
                <w:kern w:val="0"/>
                <w:szCs w:val="21"/>
              </w:rPr>
              <w:t>二级指标</w:t>
            </w:r>
          </w:p>
        </w:tc>
        <w:tc>
          <w:tcPr>
            <w:tcW w:w="3701" w:type="dxa"/>
            <w:noWrap w:val="0"/>
            <w:vAlign w:val="center"/>
          </w:tcPr>
          <w:p>
            <w:pPr>
              <w:spacing w:line="280" w:lineRule="exact"/>
              <w:jc w:val="center"/>
              <w:textAlignment w:val="center"/>
              <w:rPr>
                <w:rFonts w:ascii="宋体" w:cs="宋体"/>
                <w:b/>
                <w:szCs w:val="21"/>
              </w:rPr>
            </w:pPr>
            <w:r>
              <w:rPr>
                <w:rFonts w:hint="eastAsia" w:ascii="宋体" w:hAnsi="宋体" w:cs="宋体"/>
                <w:b/>
                <w:kern w:val="0"/>
                <w:szCs w:val="21"/>
              </w:rPr>
              <w:t>三级指标</w:t>
            </w:r>
          </w:p>
        </w:tc>
        <w:tc>
          <w:tcPr>
            <w:tcW w:w="690" w:type="dxa"/>
            <w:noWrap w:val="0"/>
            <w:vAlign w:val="center"/>
          </w:tcPr>
          <w:p>
            <w:pPr>
              <w:spacing w:line="280" w:lineRule="exact"/>
              <w:jc w:val="center"/>
              <w:textAlignment w:val="center"/>
              <w:rPr>
                <w:rFonts w:ascii="宋体" w:cs="宋体"/>
                <w:b/>
                <w:szCs w:val="21"/>
              </w:rPr>
            </w:pPr>
            <w:r>
              <w:rPr>
                <w:rFonts w:hint="eastAsia" w:ascii="宋体" w:hAnsi="宋体" w:cs="宋体"/>
                <w:b/>
                <w:szCs w:val="21"/>
              </w:rPr>
              <w:t>分值</w:t>
            </w:r>
          </w:p>
        </w:tc>
        <w:tc>
          <w:tcPr>
            <w:tcW w:w="3229" w:type="dxa"/>
            <w:noWrap w:val="0"/>
            <w:vAlign w:val="center"/>
          </w:tcPr>
          <w:p>
            <w:pPr>
              <w:spacing w:line="280" w:lineRule="exact"/>
              <w:jc w:val="center"/>
              <w:textAlignment w:val="center"/>
              <w:rPr>
                <w:rFonts w:ascii="宋体" w:cs="宋体"/>
                <w:b/>
                <w:szCs w:val="21"/>
              </w:rPr>
            </w:pPr>
            <w:r>
              <w:rPr>
                <w:rFonts w:hint="eastAsia" w:ascii="宋体" w:hAnsi="宋体" w:cs="宋体"/>
                <w:b/>
                <w:szCs w:val="21"/>
              </w:rPr>
              <w:t>评分要点</w:t>
            </w:r>
          </w:p>
        </w:tc>
        <w:tc>
          <w:tcPr>
            <w:tcW w:w="1485"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725" w:type="dxa"/>
            <w:noWrap w:val="0"/>
            <w:vAlign w:val="center"/>
          </w:tcPr>
          <w:p>
            <w:pPr>
              <w:spacing w:line="280" w:lineRule="exact"/>
              <w:textAlignment w:val="center"/>
              <w:rPr>
                <w:rFonts w:hint="eastAsia" w:ascii="宋体" w:cs="宋体"/>
                <w:b/>
                <w:kern w:val="0"/>
                <w:szCs w:val="21"/>
              </w:rPr>
            </w:pPr>
            <w:r>
              <w:rPr>
                <w:rFonts w:hint="eastAsia" w:ascii="宋体" w:hAnsi="宋体" w:cs="宋体"/>
                <w:b/>
                <w:kern w:val="0"/>
                <w:szCs w:val="21"/>
              </w:rPr>
              <w:t>教体局责任科室</w:t>
            </w:r>
          </w:p>
        </w:tc>
        <w:tc>
          <w:tcPr>
            <w:tcW w:w="1489" w:type="dxa"/>
            <w:noWrap w:val="0"/>
            <w:vAlign w:val="center"/>
          </w:tcPr>
          <w:p>
            <w:pPr>
              <w:spacing w:line="280" w:lineRule="exact"/>
              <w:ind w:firstLine="422" w:firstLineChars="200"/>
              <w:textAlignment w:val="center"/>
              <w:rPr>
                <w:rFonts w:hint="eastAsia"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125" w:type="dxa"/>
            <w:vMerge w:val="restart"/>
            <w:noWrap w:val="0"/>
            <w:vAlign w:val="center"/>
          </w:tcPr>
          <w:p>
            <w:pPr>
              <w:jc w:val="center"/>
            </w:pPr>
            <w:r>
              <w:rPr>
                <w:rFonts w:ascii="仿宋_GB2312" w:hAnsi="宋体" w:eastAsia="仿宋_GB2312" w:cs="仿宋_GB2312"/>
                <w:kern w:val="0"/>
                <w:sz w:val="20"/>
                <w:szCs w:val="20"/>
              </w:rPr>
              <w:t>A1.</w:t>
            </w:r>
            <w:r>
              <w:rPr>
                <w:rFonts w:hint="eastAsia" w:ascii="仿宋_GB2312" w:hAnsi="宋体" w:eastAsia="仿宋_GB2312" w:cs="仿宋_GB2312"/>
                <w:kern w:val="0"/>
                <w:sz w:val="20"/>
                <w:szCs w:val="20"/>
              </w:rPr>
              <w:t>贯彻执行党的教育方针情况（</w:t>
            </w:r>
            <w:r>
              <w:rPr>
                <w:rFonts w:ascii="仿宋_GB2312" w:hAnsi="宋体" w:eastAsia="仿宋_GB2312" w:cs="仿宋_GB2312"/>
                <w:kern w:val="0"/>
                <w:sz w:val="20"/>
                <w:szCs w:val="20"/>
              </w:rPr>
              <w:t>19</w:t>
            </w:r>
            <w:r>
              <w:rPr>
                <w:rFonts w:hint="eastAsia" w:ascii="仿宋_GB2312" w:hAnsi="宋体" w:eastAsia="仿宋_GB2312" w:cs="仿宋_GB2312"/>
                <w:kern w:val="0"/>
                <w:sz w:val="20"/>
                <w:szCs w:val="20"/>
              </w:rPr>
              <w:t>分）</w:t>
            </w:r>
          </w:p>
        </w:tc>
        <w:tc>
          <w:tcPr>
            <w:tcW w:w="1155" w:type="dxa"/>
            <w:noWrap w:val="0"/>
            <w:vAlign w:val="center"/>
          </w:tcPr>
          <w:p>
            <w:pPr>
              <w:jc w:val="center"/>
              <w:textAlignment w:val="center"/>
            </w:pPr>
            <w:r>
              <w:rPr>
                <w:rFonts w:ascii="仿宋_GB2312" w:hAnsi="宋体" w:eastAsia="仿宋_GB2312" w:cs="仿宋_GB2312"/>
                <w:kern w:val="0"/>
                <w:sz w:val="20"/>
                <w:szCs w:val="20"/>
              </w:rPr>
              <w:t>B1.</w:t>
            </w:r>
            <w:r>
              <w:rPr>
                <w:rFonts w:hint="eastAsia" w:ascii="仿宋_GB2312" w:hAnsi="宋体" w:eastAsia="仿宋_GB2312" w:cs="仿宋_GB2312"/>
                <w:kern w:val="0"/>
                <w:sz w:val="20"/>
                <w:szCs w:val="20"/>
              </w:rPr>
              <w:t>全面贯彻党的教育方针</w:t>
            </w:r>
          </w:p>
        </w:tc>
        <w:tc>
          <w:tcPr>
            <w:tcW w:w="3701" w:type="dxa"/>
            <w:noWrap w:val="0"/>
            <w:vAlign w:val="center"/>
          </w:tcPr>
          <w:p>
            <w:pPr>
              <w:spacing w:line="28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C1.</w:t>
            </w:r>
            <w:r>
              <w:rPr>
                <w:rFonts w:hint="eastAsia" w:ascii="仿宋_GB2312" w:hAnsi="仿宋_GB2312" w:eastAsia="仿宋_GB2312" w:cs="仿宋_GB2312"/>
                <w:kern w:val="0"/>
                <w:sz w:val="20"/>
                <w:szCs w:val="20"/>
              </w:rPr>
              <w:t>贯彻党的教育方针，坚持立德树人，全面实施素质教育，培养德智体美劳全面发展的社会主义建设者和接班人，形成配套与保障制度，确保教育重大政策制定中贯彻落实习近平新时代中国特色社会主义思想、党和国家各项方针政策。</w:t>
            </w:r>
          </w:p>
        </w:tc>
        <w:tc>
          <w:tcPr>
            <w:tcW w:w="690" w:type="dxa"/>
            <w:noWrap w:val="0"/>
            <w:vAlign w:val="center"/>
          </w:tcPr>
          <w:p>
            <w:pPr>
              <w:spacing w:line="280" w:lineRule="exact"/>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2</w:t>
            </w:r>
          </w:p>
        </w:tc>
        <w:tc>
          <w:tcPr>
            <w:tcW w:w="3229" w:type="dxa"/>
            <w:noWrap w:val="0"/>
            <w:vAlign w:val="center"/>
          </w:tcPr>
          <w:p>
            <w:pPr>
              <w:spacing w:line="280" w:lineRule="exact"/>
              <w:textAlignment w:val="center"/>
              <w:rPr>
                <w:rFonts w:ascii="仿宋_GB2312" w:hAnsi="宋体" w:eastAsia="仿宋_GB2312" w:cs="仿宋_GB2312"/>
                <w:kern w:val="0"/>
                <w:sz w:val="20"/>
                <w:szCs w:val="20"/>
              </w:rPr>
            </w:pPr>
            <w:r>
              <w:rPr>
                <w:rFonts w:hint="eastAsia" w:ascii="仿宋_GB2312" w:hAnsi="仿宋_GB2312" w:eastAsia="仿宋_GB2312" w:cs="仿宋_GB2312"/>
                <w:kern w:val="0"/>
                <w:sz w:val="20"/>
                <w:szCs w:val="20"/>
              </w:rPr>
              <w:t>查阅党委、政府有关文件、纪要、总结等资料，实地了解情况。没有具体部署安排和措施扣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分，有措施没落实扣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分，落实效果不好的扣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w:t>
            </w:r>
          </w:p>
        </w:tc>
        <w:tc>
          <w:tcPr>
            <w:tcW w:w="1485" w:type="dxa"/>
            <w:noWrap w:val="0"/>
            <w:vAlign w:val="center"/>
          </w:tcPr>
          <w:p>
            <w:pPr>
              <w:ind w:left="241" w:hanging="241" w:hanging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w:t>
            </w:r>
          </w:p>
        </w:tc>
        <w:tc>
          <w:tcPr>
            <w:tcW w:w="172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办公室</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联系政府办、县委办</w:t>
            </w:r>
          </w:p>
        </w:tc>
        <w:tc>
          <w:tcPr>
            <w:tcW w:w="1489"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125" w:type="dxa"/>
            <w:vMerge w:val="continue"/>
            <w:noWrap w:val="0"/>
            <w:vAlign w:val="center"/>
          </w:tcPr>
          <w:p>
            <w:pPr>
              <w:jc w:val="center"/>
            </w:pPr>
          </w:p>
        </w:tc>
        <w:tc>
          <w:tcPr>
            <w:tcW w:w="1155" w:type="dxa"/>
            <w:noWrap w:val="0"/>
            <w:vAlign w:val="center"/>
          </w:tcPr>
          <w:p>
            <w:pPr>
              <w:jc w:val="center"/>
              <w:textAlignment w:val="center"/>
            </w:pPr>
            <w:r>
              <w:rPr>
                <w:rFonts w:ascii="仿宋_GB2312" w:hAnsi="宋体" w:eastAsia="仿宋_GB2312" w:cs="仿宋_GB2312"/>
                <w:kern w:val="0"/>
                <w:sz w:val="20"/>
                <w:szCs w:val="20"/>
              </w:rPr>
              <w:t>B2.</w:t>
            </w:r>
            <w:r>
              <w:rPr>
                <w:rFonts w:hint="eastAsia" w:ascii="仿宋_GB2312" w:hAnsi="宋体" w:eastAsia="仿宋_GB2312" w:cs="仿宋_GB2312"/>
                <w:kern w:val="0"/>
                <w:sz w:val="20"/>
                <w:szCs w:val="20"/>
              </w:rPr>
              <w:t>加强党对教育工作的领导</w:t>
            </w:r>
          </w:p>
        </w:tc>
        <w:tc>
          <w:tcPr>
            <w:tcW w:w="3701" w:type="dxa"/>
            <w:noWrap w:val="0"/>
            <w:vAlign w:val="center"/>
          </w:tcPr>
          <w:p>
            <w:pPr>
              <w:spacing w:line="28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w:t>
            </w:r>
            <w:r>
              <w:rPr>
                <w:rFonts w:hint="eastAsia" w:ascii="仿宋_GB2312" w:hAnsi="宋体" w:eastAsia="仿宋_GB2312" w:cs="仿宋_GB2312"/>
                <w:kern w:val="0"/>
                <w:sz w:val="20"/>
                <w:szCs w:val="20"/>
              </w:rPr>
              <w:t>建立健全党委常委会和政府常务会定期听取、研究教育工作制度，教育重点难点热点问题得到及时有效解决，县（区）党委成立教育领导协作机构，并建立相应机制。</w:t>
            </w:r>
          </w:p>
        </w:tc>
        <w:tc>
          <w:tcPr>
            <w:tcW w:w="690" w:type="dxa"/>
            <w:noWrap w:val="0"/>
            <w:vAlign w:val="center"/>
          </w:tcPr>
          <w:p>
            <w:pPr>
              <w:spacing w:line="280" w:lineRule="exact"/>
              <w:jc w:val="center"/>
              <w:textAlignment w:val="center"/>
              <w:rPr>
                <w:rFonts w:ascii="宋体" w:cs="宋体"/>
                <w:sz w:val="20"/>
                <w:szCs w:val="20"/>
              </w:rPr>
            </w:pPr>
            <w:r>
              <w:rPr>
                <w:rFonts w:ascii="宋体" w:hAnsi="宋体" w:cs="宋体"/>
                <w:kern w:val="0"/>
                <w:sz w:val="20"/>
                <w:szCs w:val="20"/>
              </w:rPr>
              <w:t>3</w:t>
            </w:r>
          </w:p>
        </w:tc>
        <w:tc>
          <w:tcPr>
            <w:tcW w:w="3229" w:type="dxa"/>
            <w:noWrap w:val="0"/>
            <w:vAlign w:val="center"/>
          </w:tcPr>
          <w:p>
            <w:pPr>
              <w:spacing w:line="280" w:lineRule="exact"/>
              <w:rPr>
                <w:rFonts w:ascii="宋体" w:cs="宋体"/>
                <w:sz w:val="20"/>
                <w:szCs w:val="20"/>
              </w:rPr>
            </w:pPr>
            <w:r>
              <w:rPr>
                <w:rFonts w:hint="eastAsia" w:ascii="仿宋_GB2312" w:hAnsi="仿宋_GB2312" w:eastAsia="仿宋_GB2312" w:cs="仿宋_GB2312"/>
                <w:kern w:val="0"/>
                <w:sz w:val="20"/>
                <w:szCs w:val="20"/>
              </w:rPr>
              <w:t>查阅党委、政府有关文件、纪要、总结等资料，实地了解情况。</w:t>
            </w:r>
            <w:r>
              <w:rPr>
                <w:rFonts w:hint="eastAsia" w:ascii="仿宋_GB2312" w:hAnsi="宋体" w:eastAsia="仿宋_GB2312" w:cs="仿宋_GB2312"/>
                <w:kern w:val="0"/>
                <w:sz w:val="20"/>
                <w:szCs w:val="20"/>
              </w:rPr>
              <w:t>党委常委会和政府常务会</w:t>
            </w:r>
            <w:r>
              <w:rPr>
                <w:rFonts w:hint="eastAsia" w:ascii="仿宋_GB2312" w:hAnsi="仿宋_GB2312" w:eastAsia="仿宋_GB2312" w:cs="仿宋_GB2312"/>
                <w:kern w:val="0"/>
                <w:sz w:val="20"/>
                <w:szCs w:val="20"/>
              </w:rPr>
              <w:t>每年研究教育工作会议不少于</w:t>
            </w:r>
            <w:r>
              <w:rPr>
                <w:rFonts w:ascii="仿宋_GB2312" w:hAnsi="仿宋_GB2312" w:eastAsia="仿宋_GB2312" w:cs="仿宋_GB2312"/>
                <w:kern w:val="0"/>
                <w:sz w:val="20"/>
                <w:szCs w:val="20"/>
              </w:rPr>
              <w:t>2</w:t>
            </w:r>
            <w:r>
              <w:rPr>
                <w:rFonts w:hint="eastAsia" w:ascii="仿宋_GB2312" w:hAnsi="仿宋_GB2312" w:eastAsia="仿宋_GB2312" w:cs="仿宋_GB2312"/>
                <w:kern w:val="0"/>
                <w:sz w:val="20"/>
                <w:szCs w:val="20"/>
              </w:rPr>
              <w:t>次（少一次扣</w:t>
            </w:r>
            <w:r>
              <w:rPr>
                <w:rFonts w:ascii="仿宋_GB2312" w:hAnsi="仿宋_GB2312" w:eastAsia="仿宋_GB2312" w:cs="仿宋_GB2312"/>
                <w:kern w:val="0"/>
                <w:sz w:val="20"/>
                <w:szCs w:val="20"/>
              </w:rPr>
              <w:t>0.5</w:t>
            </w:r>
            <w:r>
              <w:rPr>
                <w:rFonts w:hint="eastAsia" w:ascii="仿宋_GB2312" w:hAnsi="仿宋_GB2312" w:eastAsia="仿宋_GB2312" w:cs="仿宋_GB2312"/>
                <w:kern w:val="0"/>
                <w:sz w:val="20"/>
                <w:szCs w:val="20"/>
              </w:rPr>
              <w:t>分），</w:t>
            </w:r>
            <w:r>
              <w:rPr>
                <w:rFonts w:hint="eastAsia" w:ascii="仿宋_GB2312" w:hAnsi="宋体" w:eastAsia="仿宋_GB2312" w:cs="仿宋_GB2312"/>
                <w:kern w:val="0"/>
                <w:sz w:val="20"/>
                <w:szCs w:val="20"/>
              </w:rPr>
              <w:t>县级党委</w:t>
            </w:r>
            <w:r>
              <w:rPr>
                <w:rFonts w:hint="eastAsia" w:ascii="仿宋_GB2312" w:hAnsi="仿宋_GB2312" w:eastAsia="仿宋_GB2312" w:cs="仿宋_GB2312"/>
                <w:kern w:val="0"/>
                <w:sz w:val="20"/>
                <w:szCs w:val="20"/>
              </w:rPr>
              <w:t>没有建立教育领导机构的扣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w:t>
            </w:r>
            <w:r>
              <w:rPr>
                <w:rFonts w:hint="eastAsia" w:ascii="仿宋_GB2312" w:hAnsi="宋体" w:eastAsia="仿宋_GB2312" w:cs="仿宋_GB2312"/>
                <w:kern w:val="0"/>
                <w:sz w:val="20"/>
                <w:szCs w:val="20"/>
              </w:rPr>
              <w:t>教育重点难点热点问题没有及时有效解决的扣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r>
              <w:rPr>
                <w:rFonts w:hint="eastAsia" w:ascii="仿宋_GB2312" w:hAnsi="仿宋_GB2312" w:eastAsia="仿宋_GB2312" w:cs="仿宋_GB2312"/>
                <w:kern w:val="0"/>
                <w:sz w:val="20"/>
                <w:szCs w:val="20"/>
              </w:rPr>
              <w:t>。</w:t>
            </w:r>
          </w:p>
        </w:tc>
        <w:tc>
          <w:tcPr>
            <w:tcW w:w="1485" w:type="dxa"/>
            <w:noWrap w:val="0"/>
            <w:vAlign w:val="center"/>
          </w:tcPr>
          <w:p>
            <w:pPr>
              <w:ind w:left="241" w:hanging="241" w:hanging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w:t>
            </w:r>
          </w:p>
        </w:tc>
        <w:tc>
          <w:tcPr>
            <w:tcW w:w="172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办公室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联系政府办</w:t>
            </w:r>
          </w:p>
        </w:tc>
        <w:tc>
          <w:tcPr>
            <w:tcW w:w="1489"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1125" w:type="dxa"/>
            <w:vMerge w:val="continue"/>
            <w:noWrap w:val="0"/>
            <w:vAlign w:val="center"/>
          </w:tcPr>
          <w:p>
            <w:pPr>
              <w:jc w:val="center"/>
            </w:pPr>
          </w:p>
        </w:tc>
        <w:tc>
          <w:tcPr>
            <w:tcW w:w="1155" w:type="dxa"/>
            <w:noWrap w:val="0"/>
            <w:vAlign w:val="center"/>
          </w:tcPr>
          <w:p>
            <w:pPr>
              <w:jc w:val="center"/>
            </w:pPr>
            <w:r>
              <w:rPr>
                <w:rFonts w:ascii="仿宋_GB2312" w:hAnsi="宋体" w:eastAsia="仿宋_GB2312" w:cs="仿宋_GB2312"/>
                <w:kern w:val="0"/>
                <w:sz w:val="20"/>
                <w:szCs w:val="20"/>
              </w:rPr>
              <w:t>B3.</w:t>
            </w:r>
            <w:r>
              <w:rPr>
                <w:rFonts w:hint="eastAsia" w:ascii="仿宋_GB2312" w:hAnsi="宋体" w:eastAsia="仿宋_GB2312" w:cs="仿宋_GB2312"/>
                <w:kern w:val="0"/>
                <w:sz w:val="20"/>
                <w:szCs w:val="20"/>
              </w:rPr>
              <w:t>加强和改进教育系统党的建设</w:t>
            </w:r>
          </w:p>
        </w:tc>
        <w:tc>
          <w:tcPr>
            <w:tcW w:w="3701" w:type="dxa"/>
            <w:noWrap w:val="0"/>
            <w:vAlign w:val="center"/>
          </w:tcPr>
          <w:p>
            <w:pPr>
              <w:spacing w:line="28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w:t>
            </w:r>
            <w:r>
              <w:rPr>
                <w:rFonts w:hint="eastAsia" w:ascii="仿宋_GB2312" w:hAnsi="宋体" w:eastAsia="仿宋_GB2312" w:cs="仿宋_GB2312"/>
                <w:kern w:val="0"/>
                <w:sz w:val="20"/>
                <w:szCs w:val="20"/>
              </w:rPr>
              <w:t>加强和改进教育系统党的建设，加强基层党组织和党员队伍建设，加快推进各级各类学校党组织和党的工作全覆盖。加强党对学校共青团、少先队工作领导，按照要求成立教育团工委，深化团教合作，将属地中小学校共青团、少先队工作纳入基础教育发展的整体格局进行统一规划，形成育人合力，促进学生全面发展。</w:t>
            </w:r>
          </w:p>
        </w:tc>
        <w:tc>
          <w:tcPr>
            <w:tcW w:w="690" w:type="dxa"/>
            <w:noWrap w:val="0"/>
            <w:vAlign w:val="center"/>
          </w:tcPr>
          <w:p>
            <w:pPr>
              <w:spacing w:line="28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229" w:type="dxa"/>
            <w:noWrap w:val="0"/>
            <w:vAlign w:val="center"/>
          </w:tcPr>
          <w:p>
            <w:pPr>
              <w:spacing w:line="280" w:lineRule="exact"/>
              <w:textAlignment w:val="center"/>
              <w:rPr>
                <w:rFonts w:ascii="仿宋_GB2312" w:hAnsi="宋体" w:eastAsia="仿宋_GB2312" w:cs="仿宋_GB2312"/>
                <w:kern w:val="0"/>
                <w:sz w:val="20"/>
                <w:szCs w:val="20"/>
              </w:rPr>
            </w:pPr>
            <w:r>
              <w:rPr>
                <w:rFonts w:hint="eastAsia" w:ascii="仿宋_GB2312" w:hAnsi="仿宋_GB2312" w:eastAsia="仿宋_GB2312" w:cs="仿宋_GB2312"/>
                <w:kern w:val="0"/>
                <w:sz w:val="20"/>
                <w:szCs w:val="20"/>
              </w:rPr>
              <w:t>查阅档案资料，实地了解情况。</w:t>
            </w:r>
            <w:r>
              <w:rPr>
                <w:rFonts w:hint="eastAsia" w:ascii="仿宋_GB2312" w:hAnsi="仿宋_GB2312" w:eastAsia="仿宋_GB2312" w:cs="仿宋_GB2312"/>
                <w:sz w:val="20"/>
                <w:szCs w:val="20"/>
              </w:rPr>
              <w:t>县（市、区）</w:t>
            </w:r>
            <w:r>
              <w:rPr>
                <w:rFonts w:hint="eastAsia" w:ascii="仿宋_GB2312" w:hAnsi="宋体" w:eastAsia="仿宋_GB2312" w:cs="仿宋_GB2312"/>
                <w:kern w:val="0"/>
                <w:sz w:val="20"/>
                <w:szCs w:val="20"/>
              </w:rPr>
              <w:t>各级各类学校</w:t>
            </w:r>
            <w:r>
              <w:rPr>
                <w:rFonts w:hint="eastAsia" w:ascii="仿宋_GB2312" w:hAnsi="仿宋_GB2312" w:eastAsia="仿宋_GB2312" w:cs="仿宋_GB2312"/>
                <w:sz w:val="20"/>
                <w:szCs w:val="20"/>
              </w:rPr>
              <w:t>党组织覆盖率每差</w:t>
            </w:r>
            <w:r>
              <w:rPr>
                <w:rFonts w:ascii="仿宋_GB2312" w:hAnsi="仿宋_GB2312" w:eastAsia="仿宋_GB2312" w:cs="仿宋_GB2312"/>
                <w:sz w:val="20"/>
                <w:szCs w:val="20"/>
              </w:rPr>
              <w:t>2</w:t>
            </w:r>
            <w:r>
              <w:rPr>
                <w:rFonts w:hint="eastAsia" w:ascii="仿宋_GB2312" w:hAnsi="仿宋_GB2312" w:eastAsia="仿宋_GB2312" w:cs="仿宋_GB2312"/>
                <w:sz w:val="20"/>
                <w:szCs w:val="20"/>
              </w:rPr>
              <w:t>个百分点扣</w:t>
            </w:r>
            <w:r>
              <w:rPr>
                <w:rFonts w:ascii="仿宋_GB2312" w:hAnsi="仿宋_GB2312" w:eastAsia="仿宋_GB2312" w:cs="仿宋_GB2312"/>
                <w:sz w:val="20"/>
                <w:szCs w:val="20"/>
              </w:rPr>
              <w:t>0.1</w:t>
            </w:r>
            <w:r>
              <w:rPr>
                <w:rFonts w:hint="eastAsia" w:ascii="仿宋_GB2312" w:hAnsi="仿宋_GB2312" w:eastAsia="仿宋_GB2312" w:cs="仿宋_GB2312"/>
                <w:sz w:val="20"/>
                <w:szCs w:val="20"/>
              </w:rPr>
              <w:t>分，未落实加强共青团、少先队工作政策的每查出</w:t>
            </w:r>
            <w:r>
              <w:rPr>
                <w:rFonts w:ascii="仿宋_GB2312" w:hAnsi="仿宋_GB2312" w:eastAsia="仿宋_GB2312" w:cs="仿宋_GB2312"/>
                <w:sz w:val="20"/>
                <w:szCs w:val="20"/>
              </w:rPr>
              <w:t>1</w:t>
            </w:r>
            <w:r>
              <w:rPr>
                <w:rFonts w:hint="eastAsia" w:ascii="仿宋_GB2312" w:hAnsi="仿宋_GB2312" w:eastAsia="仿宋_GB2312" w:cs="仿宋_GB2312"/>
                <w:sz w:val="20"/>
                <w:szCs w:val="20"/>
              </w:rPr>
              <w:t>所学校扣</w:t>
            </w:r>
            <w:r>
              <w:rPr>
                <w:rFonts w:ascii="仿宋_GB2312" w:hAnsi="仿宋_GB2312" w:eastAsia="仿宋_GB2312" w:cs="仿宋_GB2312"/>
                <w:sz w:val="20"/>
                <w:szCs w:val="20"/>
              </w:rPr>
              <w:t>0.1</w:t>
            </w:r>
            <w:r>
              <w:rPr>
                <w:rFonts w:hint="eastAsia" w:ascii="仿宋_GB2312" w:hAnsi="仿宋_GB2312" w:eastAsia="仿宋_GB2312" w:cs="仿宋_GB2312"/>
                <w:sz w:val="20"/>
                <w:szCs w:val="20"/>
              </w:rPr>
              <w:t>分。</w:t>
            </w:r>
          </w:p>
        </w:tc>
        <w:tc>
          <w:tcPr>
            <w:tcW w:w="148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县教体局</w:t>
            </w:r>
          </w:p>
        </w:tc>
        <w:tc>
          <w:tcPr>
            <w:tcW w:w="172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组织纪检室</w:t>
            </w:r>
          </w:p>
          <w:p>
            <w:pPr>
              <w:jc w:val="center"/>
              <w:rPr>
                <w:rFonts w:hint="eastAsia" w:ascii="仿宋_GB2312" w:hAnsi="仿宋_GB2312" w:eastAsia="仿宋_GB2312" w:cs="仿宋_GB2312"/>
                <w:b/>
                <w:bCs/>
                <w:kern w:val="0"/>
                <w:sz w:val="24"/>
              </w:rPr>
            </w:pP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团   委</w:t>
            </w:r>
          </w:p>
        </w:tc>
        <w:tc>
          <w:tcPr>
            <w:tcW w:w="1489" w:type="dxa"/>
            <w:noWrap w:val="0"/>
            <w:vAlign w:val="center"/>
          </w:tcPr>
          <w:p>
            <w:pPr>
              <w:jc w:val="center"/>
              <w:rPr>
                <w:rFonts w:hint="eastAsia" w:ascii="仿宋_GB2312" w:hAnsi="仿宋_GB2312" w:eastAsia="仿宋_GB2312" w:cs="仿宋_GB2312"/>
                <w:b/>
                <w:bCs/>
                <w:kern w:val="0"/>
                <w:sz w:val="24"/>
              </w:rPr>
            </w:pPr>
          </w:p>
        </w:tc>
      </w:tr>
    </w:tbl>
    <w:tbl>
      <w:tblPr>
        <w:tblStyle w:val="3"/>
        <w:tblpPr w:leftFromText="180" w:rightFromText="180" w:vertAnchor="text" w:horzAnchor="page" w:tblpX="1066" w:tblpY="-36"/>
        <w:tblOverlap w:val="never"/>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185"/>
        <w:gridCol w:w="3378"/>
        <w:gridCol w:w="660"/>
        <w:gridCol w:w="3540"/>
        <w:gridCol w:w="1463"/>
        <w:gridCol w:w="177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25" w:type="dxa"/>
            <w:noWrap w:val="0"/>
            <w:vAlign w:val="center"/>
          </w:tcPr>
          <w:p>
            <w:pPr>
              <w:spacing w:line="280" w:lineRule="exact"/>
              <w:jc w:val="center"/>
              <w:textAlignment w:val="center"/>
              <w:rPr>
                <w:rFonts w:ascii="宋体" w:cs="宋体"/>
                <w:b/>
                <w:szCs w:val="21"/>
              </w:rPr>
            </w:pPr>
            <w:r>
              <w:rPr>
                <w:rFonts w:hint="eastAsia" w:ascii="宋体" w:hAnsi="宋体" w:cs="宋体"/>
                <w:b/>
                <w:kern w:val="0"/>
                <w:szCs w:val="21"/>
              </w:rPr>
              <w:t>一级指标</w:t>
            </w:r>
          </w:p>
        </w:tc>
        <w:tc>
          <w:tcPr>
            <w:tcW w:w="1185" w:type="dxa"/>
            <w:noWrap w:val="0"/>
            <w:vAlign w:val="center"/>
          </w:tcPr>
          <w:p>
            <w:pPr>
              <w:spacing w:line="280" w:lineRule="exact"/>
              <w:jc w:val="center"/>
              <w:textAlignment w:val="center"/>
              <w:rPr>
                <w:rFonts w:ascii="宋体" w:cs="宋体"/>
                <w:b/>
                <w:szCs w:val="21"/>
              </w:rPr>
            </w:pPr>
            <w:r>
              <w:rPr>
                <w:rFonts w:hint="eastAsia" w:ascii="宋体" w:hAnsi="宋体" w:cs="宋体"/>
                <w:b/>
                <w:kern w:val="0"/>
                <w:szCs w:val="21"/>
              </w:rPr>
              <w:t>二级指标</w:t>
            </w:r>
          </w:p>
        </w:tc>
        <w:tc>
          <w:tcPr>
            <w:tcW w:w="3378" w:type="dxa"/>
            <w:noWrap w:val="0"/>
            <w:vAlign w:val="center"/>
          </w:tcPr>
          <w:p>
            <w:pPr>
              <w:spacing w:line="280" w:lineRule="exact"/>
              <w:jc w:val="center"/>
              <w:textAlignment w:val="center"/>
              <w:rPr>
                <w:rFonts w:ascii="宋体" w:cs="宋体"/>
                <w:b/>
                <w:szCs w:val="21"/>
              </w:rPr>
            </w:pPr>
            <w:r>
              <w:rPr>
                <w:rFonts w:hint="eastAsia" w:ascii="宋体" w:hAnsi="宋体" w:cs="宋体"/>
                <w:b/>
                <w:kern w:val="0"/>
                <w:szCs w:val="21"/>
              </w:rPr>
              <w:t>三级指标</w:t>
            </w:r>
          </w:p>
        </w:tc>
        <w:tc>
          <w:tcPr>
            <w:tcW w:w="660" w:type="dxa"/>
            <w:noWrap w:val="0"/>
            <w:vAlign w:val="center"/>
          </w:tcPr>
          <w:p>
            <w:pPr>
              <w:spacing w:line="280" w:lineRule="exact"/>
              <w:jc w:val="center"/>
              <w:textAlignment w:val="center"/>
              <w:rPr>
                <w:rFonts w:ascii="宋体" w:cs="宋体"/>
                <w:b/>
                <w:szCs w:val="21"/>
              </w:rPr>
            </w:pPr>
            <w:r>
              <w:rPr>
                <w:rFonts w:hint="eastAsia" w:ascii="宋体" w:hAnsi="宋体" w:cs="宋体"/>
                <w:b/>
                <w:szCs w:val="21"/>
              </w:rPr>
              <w:t>分值</w:t>
            </w:r>
          </w:p>
        </w:tc>
        <w:tc>
          <w:tcPr>
            <w:tcW w:w="3540" w:type="dxa"/>
            <w:noWrap w:val="0"/>
            <w:vAlign w:val="center"/>
          </w:tcPr>
          <w:p>
            <w:pPr>
              <w:spacing w:line="280" w:lineRule="exact"/>
              <w:jc w:val="center"/>
              <w:textAlignment w:val="center"/>
              <w:rPr>
                <w:rFonts w:ascii="宋体" w:cs="宋体"/>
                <w:b/>
                <w:szCs w:val="21"/>
              </w:rPr>
            </w:pPr>
            <w:r>
              <w:rPr>
                <w:rFonts w:hint="eastAsia" w:ascii="宋体" w:hAnsi="宋体" w:cs="宋体"/>
                <w:b/>
                <w:szCs w:val="21"/>
              </w:rPr>
              <w:t>评分要点</w:t>
            </w:r>
          </w:p>
        </w:tc>
        <w:tc>
          <w:tcPr>
            <w:tcW w:w="1463"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770"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567"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125" w:type="dxa"/>
            <w:vMerge w:val="restart"/>
            <w:noWrap w:val="0"/>
            <w:vAlign w:val="center"/>
          </w:tcPr>
          <w:p>
            <w:pPr>
              <w:jc w:val="center"/>
              <w:rPr>
                <w:rFonts w:ascii="宋体" w:cs="宋体"/>
                <w:b/>
                <w:kern w:val="0"/>
                <w:szCs w:val="21"/>
              </w:rPr>
            </w:pPr>
            <w:r>
              <w:rPr>
                <w:rFonts w:ascii="仿宋_GB2312" w:hAnsi="宋体" w:eastAsia="仿宋_GB2312" w:cs="仿宋_GB2312"/>
                <w:kern w:val="0"/>
                <w:sz w:val="20"/>
                <w:szCs w:val="20"/>
              </w:rPr>
              <w:t>A1.</w:t>
            </w:r>
            <w:r>
              <w:rPr>
                <w:rFonts w:hint="eastAsia" w:ascii="仿宋_GB2312" w:hAnsi="宋体" w:eastAsia="仿宋_GB2312" w:cs="仿宋_GB2312"/>
                <w:kern w:val="0"/>
                <w:sz w:val="20"/>
                <w:szCs w:val="20"/>
              </w:rPr>
              <w:t>贯彻执行党的教育方针情况（</w:t>
            </w:r>
            <w:r>
              <w:rPr>
                <w:rFonts w:ascii="仿宋_GB2312" w:hAnsi="宋体" w:eastAsia="仿宋_GB2312" w:cs="仿宋_GB2312"/>
                <w:kern w:val="0"/>
                <w:sz w:val="20"/>
                <w:szCs w:val="20"/>
              </w:rPr>
              <w:t xml:space="preserve"> 19 </w:t>
            </w:r>
            <w:r>
              <w:rPr>
                <w:rFonts w:hint="eastAsia" w:ascii="仿宋_GB2312" w:hAnsi="宋体" w:eastAsia="仿宋_GB2312" w:cs="仿宋_GB2312"/>
                <w:kern w:val="0"/>
                <w:sz w:val="20"/>
                <w:szCs w:val="20"/>
              </w:rPr>
              <w:t>分）</w:t>
            </w:r>
          </w:p>
        </w:tc>
        <w:tc>
          <w:tcPr>
            <w:tcW w:w="1185" w:type="dxa"/>
            <w:noWrap w:val="0"/>
            <w:vAlign w:val="center"/>
          </w:tcPr>
          <w:p>
            <w:pPr>
              <w:spacing w:line="280" w:lineRule="exact"/>
              <w:jc w:val="center"/>
              <w:textAlignment w:val="center"/>
              <w:rPr>
                <w:rFonts w:ascii="宋体" w:cs="宋体"/>
                <w:b/>
                <w:kern w:val="0"/>
                <w:szCs w:val="21"/>
              </w:rPr>
            </w:pPr>
            <w:r>
              <w:rPr>
                <w:rFonts w:ascii="仿宋_GB2312" w:hAnsi="宋体" w:eastAsia="仿宋_GB2312" w:cs="仿宋_GB2312"/>
                <w:kern w:val="0"/>
                <w:sz w:val="20"/>
                <w:szCs w:val="20"/>
              </w:rPr>
              <w:t>B3.</w:t>
            </w:r>
            <w:r>
              <w:rPr>
                <w:rFonts w:hint="eastAsia" w:ascii="仿宋_GB2312" w:hAnsi="宋体" w:eastAsia="仿宋_GB2312" w:cs="仿宋_GB2312"/>
                <w:kern w:val="0"/>
                <w:sz w:val="20"/>
                <w:szCs w:val="20"/>
              </w:rPr>
              <w:t>加强和改进教育系统党的建设</w:t>
            </w:r>
          </w:p>
        </w:tc>
        <w:tc>
          <w:tcPr>
            <w:tcW w:w="3378"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C4.</w:t>
            </w:r>
            <w:r>
              <w:rPr>
                <w:rFonts w:hint="eastAsia" w:ascii="仿宋_GB2312" w:hAnsi="宋体" w:eastAsia="仿宋_GB2312" w:cs="仿宋_GB2312"/>
                <w:kern w:val="0"/>
                <w:sz w:val="20"/>
                <w:szCs w:val="20"/>
              </w:rPr>
              <w:t>形成并落实指导基层党建述职评议考核工作机制。</w:t>
            </w:r>
          </w:p>
        </w:tc>
        <w:tc>
          <w:tcPr>
            <w:tcW w:w="66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1</w:t>
            </w:r>
          </w:p>
        </w:tc>
        <w:tc>
          <w:tcPr>
            <w:tcW w:w="3540" w:type="dxa"/>
            <w:noWrap w:val="0"/>
            <w:vAlign w:val="center"/>
          </w:tcPr>
          <w:p>
            <w:pPr>
              <w:textAlignment w:val="center"/>
              <w:rPr>
                <w:rFonts w:ascii="仿宋_GB2312" w:hAnsi="宋体" w:eastAsia="仿宋_GB2312" w:cs="仿宋_GB2312"/>
                <w:kern w:val="0"/>
                <w:sz w:val="20"/>
                <w:szCs w:val="20"/>
              </w:rPr>
            </w:pPr>
            <w:r>
              <w:rPr>
                <w:rFonts w:hint="eastAsia" w:ascii="仿宋_GB2312" w:hAnsi="仿宋_GB2312" w:eastAsia="仿宋_GB2312" w:cs="仿宋_GB2312"/>
                <w:kern w:val="0"/>
                <w:sz w:val="20"/>
                <w:szCs w:val="20"/>
              </w:rPr>
              <w:t>查阅资料，实地了解情况。没有制定考核评估办法扣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分，没有落实的扣</w:t>
            </w:r>
            <w:r>
              <w:rPr>
                <w:rFonts w:ascii="仿宋_GB2312" w:hAnsi="仿宋_GB2312" w:eastAsia="仿宋_GB2312" w:cs="仿宋_GB2312"/>
                <w:kern w:val="0"/>
                <w:sz w:val="20"/>
                <w:szCs w:val="20"/>
              </w:rPr>
              <w:t>0.2</w:t>
            </w:r>
            <w:r>
              <w:rPr>
                <w:rFonts w:hint="eastAsia" w:ascii="仿宋_GB2312" w:hAnsi="宋体" w:eastAsia="仿宋_GB2312" w:cs="仿宋_GB2312"/>
                <w:kern w:val="0"/>
                <w:sz w:val="20"/>
                <w:szCs w:val="20"/>
              </w:rPr>
              <w:t>分。</w:t>
            </w:r>
          </w:p>
        </w:tc>
        <w:tc>
          <w:tcPr>
            <w:tcW w:w="14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县教体局</w:t>
            </w:r>
          </w:p>
        </w:tc>
        <w:tc>
          <w:tcPr>
            <w:tcW w:w="177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组织纪检室</w:t>
            </w:r>
          </w:p>
        </w:tc>
        <w:tc>
          <w:tcPr>
            <w:tcW w:w="1567"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125" w:type="dxa"/>
            <w:vMerge w:val="continue"/>
            <w:noWrap w:val="0"/>
            <w:vAlign w:val="center"/>
          </w:tcPr>
          <w:p>
            <w:pPr>
              <w:jc w:val="center"/>
            </w:pPr>
          </w:p>
        </w:tc>
        <w:tc>
          <w:tcPr>
            <w:tcW w:w="118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 xml:space="preserve">B4. </w:t>
            </w:r>
            <w:r>
              <w:rPr>
                <w:rFonts w:hint="eastAsia" w:ascii="仿宋_GB2312" w:hAnsi="宋体" w:eastAsia="仿宋_GB2312" w:cs="仿宋_GB2312"/>
                <w:kern w:val="0"/>
                <w:sz w:val="20"/>
                <w:szCs w:val="20"/>
              </w:rPr>
              <w:t>落实全面从严治党和党风廉政建设主体责任</w:t>
            </w:r>
          </w:p>
        </w:tc>
        <w:tc>
          <w:tcPr>
            <w:tcW w:w="3378" w:type="dxa"/>
            <w:noWrap w:val="0"/>
            <w:vAlign w:val="center"/>
          </w:tcPr>
          <w:p>
            <w:pPr>
              <w:spacing w:line="24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C5.</w:t>
            </w:r>
            <w:r>
              <w:rPr>
                <w:rFonts w:hint="eastAsia" w:ascii="仿宋_GB2312" w:hAnsi="宋体" w:eastAsia="仿宋_GB2312" w:cs="仿宋_GB2312"/>
                <w:kern w:val="0"/>
                <w:sz w:val="20"/>
                <w:szCs w:val="20"/>
              </w:rPr>
              <w:t>落实全面从严治党和党风廉政建设主体责任，强化“党政同责”和“一岗双责”，强化问责追责。深入推进惩治和预防腐败体系建设，加强廉政风险防控，从严从紧抓好作风建设，营造风清气正的良好教育政治生态。</w:t>
            </w:r>
          </w:p>
        </w:tc>
        <w:tc>
          <w:tcPr>
            <w:tcW w:w="660" w:type="dxa"/>
            <w:noWrap w:val="0"/>
            <w:vAlign w:val="center"/>
          </w:tcPr>
          <w:p>
            <w:pPr>
              <w:spacing w:line="24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540" w:type="dxa"/>
            <w:noWrap w:val="0"/>
            <w:vAlign w:val="center"/>
          </w:tcPr>
          <w:p>
            <w:pPr>
              <w:spacing w:line="240" w:lineRule="exact"/>
              <w:textAlignment w:val="center"/>
              <w:rPr>
                <w:rFonts w:ascii="仿宋_GB2312" w:hAnsi="宋体" w:eastAsia="仿宋_GB2312" w:cs="仿宋_GB2312"/>
                <w:kern w:val="0"/>
                <w:sz w:val="20"/>
                <w:szCs w:val="20"/>
              </w:rPr>
            </w:pPr>
            <w:r>
              <w:rPr>
                <w:rFonts w:hint="eastAsia" w:ascii="仿宋_GB2312" w:hAnsi="仿宋_GB2312" w:eastAsia="仿宋_GB2312" w:cs="仿宋_GB2312"/>
                <w:sz w:val="20"/>
                <w:szCs w:val="20"/>
              </w:rPr>
              <w:t>查阅文件、纪要、总结等资料，实地了解情况。</w:t>
            </w:r>
            <w:r>
              <w:rPr>
                <w:rFonts w:hint="eastAsia" w:ascii="仿宋_GB2312" w:hAnsi="宋体" w:eastAsia="仿宋_GB2312" w:cs="仿宋_GB2312"/>
                <w:kern w:val="0"/>
                <w:sz w:val="20"/>
                <w:szCs w:val="20"/>
              </w:rPr>
              <w:t>党风廉政建设主体责任落实不力的扣</w:t>
            </w:r>
            <w:r>
              <w:rPr>
                <w:rFonts w:ascii="仿宋_GB2312" w:hAnsi="宋体" w:eastAsia="仿宋_GB2312" w:cs="仿宋_GB2312"/>
                <w:kern w:val="0"/>
                <w:sz w:val="20"/>
                <w:szCs w:val="20"/>
              </w:rPr>
              <w:t>0.5</w:t>
            </w:r>
            <w:r>
              <w:rPr>
                <w:rFonts w:hint="eastAsia" w:ascii="仿宋_GB2312" w:hAnsi="宋体" w:eastAsia="仿宋_GB2312" w:cs="仿宋_GB2312"/>
                <w:kern w:val="0"/>
                <w:sz w:val="20"/>
                <w:szCs w:val="20"/>
              </w:rPr>
              <w:t>分，教育系统惩治和预防腐败体系不完善扣</w:t>
            </w:r>
            <w:r>
              <w:rPr>
                <w:rFonts w:ascii="仿宋_GB2312" w:hAnsi="宋体" w:eastAsia="仿宋_GB2312" w:cs="仿宋_GB2312"/>
                <w:kern w:val="0"/>
                <w:sz w:val="20"/>
                <w:szCs w:val="20"/>
              </w:rPr>
              <w:t>0.5</w:t>
            </w:r>
            <w:r>
              <w:rPr>
                <w:rFonts w:hint="eastAsia" w:ascii="仿宋_GB2312" w:hAnsi="宋体" w:eastAsia="仿宋_GB2312" w:cs="仿宋_GB2312"/>
                <w:kern w:val="0"/>
                <w:sz w:val="20"/>
                <w:szCs w:val="20"/>
              </w:rPr>
              <w:t>分，</w:t>
            </w:r>
            <w:r>
              <w:rPr>
                <w:rFonts w:hint="eastAsia" w:ascii="仿宋_GB2312" w:hAnsi="仿宋_GB2312" w:eastAsia="仿宋_GB2312" w:cs="仿宋_GB2312"/>
                <w:sz w:val="20"/>
                <w:szCs w:val="20"/>
              </w:rPr>
              <w:t>年度教育系统被查处的违法违纪人员，每人扣</w:t>
            </w:r>
            <w:r>
              <w:rPr>
                <w:rFonts w:ascii="仿宋_GB2312" w:hAnsi="仿宋_GB2312" w:eastAsia="仿宋_GB2312" w:cs="仿宋_GB2312"/>
                <w:sz w:val="20"/>
                <w:szCs w:val="20"/>
              </w:rPr>
              <w:t>0.1</w:t>
            </w:r>
            <w:r>
              <w:rPr>
                <w:rFonts w:hint="eastAsia" w:ascii="仿宋_GB2312" w:hAnsi="仿宋_GB2312" w:eastAsia="仿宋_GB2312" w:cs="仿宋_GB2312"/>
                <w:sz w:val="20"/>
                <w:szCs w:val="20"/>
              </w:rPr>
              <w:t>分，扣完为止。</w:t>
            </w:r>
          </w:p>
        </w:tc>
        <w:tc>
          <w:tcPr>
            <w:tcW w:w="14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县教体局</w:t>
            </w:r>
          </w:p>
        </w:tc>
        <w:tc>
          <w:tcPr>
            <w:tcW w:w="177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组织纪检室</w:t>
            </w:r>
          </w:p>
        </w:tc>
        <w:tc>
          <w:tcPr>
            <w:tcW w:w="1567" w:type="dxa"/>
            <w:noWrap w:val="0"/>
            <w:vAlign w:val="top"/>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125" w:type="dxa"/>
            <w:vMerge w:val="continue"/>
            <w:noWrap w:val="0"/>
            <w:vAlign w:val="top"/>
          </w:tcPr>
          <w:p>
            <w:pPr>
              <w:rPr>
                <w:rFonts w:ascii="仿宋_GB2312" w:hAnsi="宋体" w:eastAsia="仿宋_GB2312" w:cs="仿宋_GB2312"/>
                <w:kern w:val="0"/>
                <w:sz w:val="20"/>
                <w:szCs w:val="20"/>
              </w:rPr>
            </w:pPr>
          </w:p>
        </w:tc>
        <w:tc>
          <w:tcPr>
            <w:tcW w:w="1185" w:type="dxa"/>
            <w:vMerge w:val="restart"/>
            <w:noWrap w:val="0"/>
            <w:vAlign w:val="center"/>
          </w:tcPr>
          <w:p>
            <w:pPr>
              <w:jc w:val="center"/>
              <w:rPr>
                <w:rFonts w:ascii="仿宋_GB2312" w:hAnsi="宋体" w:eastAsia="仿宋_GB2312" w:cs="仿宋_GB2312"/>
                <w:kern w:val="0"/>
                <w:sz w:val="20"/>
                <w:szCs w:val="20"/>
              </w:rPr>
            </w:pPr>
            <w:r>
              <w:rPr>
                <w:rFonts w:ascii="仿宋_GB2312" w:hAnsi="宋体" w:eastAsia="仿宋_GB2312" w:cs="仿宋_GB2312"/>
                <w:kern w:val="0"/>
                <w:sz w:val="20"/>
                <w:szCs w:val="20"/>
              </w:rPr>
              <w:t>B5.</w:t>
            </w:r>
            <w:r>
              <w:rPr>
                <w:rFonts w:hint="eastAsia" w:ascii="仿宋_GB2312" w:hAnsi="宋体" w:eastAsia="仿宋_GB2312" w:cs="仿宋_GB2312"/>
                <w:kern w:val="0"/>
                <w:sz w:val="20"/>
                <w:szCs w:val="20"/>
              </w:rPr>
              <w:t>维护教育系统安全稳定</w:t>
            </w:r>
          </w:p>
        </w:tc>
        <w:tc>
          <w:tcPr>
            <w:tcW w:w="3378" w:type="dxa"/>
            <w:noWrap w:val="0"/>
            <w:vAlign w:val="center"/>
          </w:tcPr>
          <w:p>
            <w:pPr>
              <w:spacing w:line="24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C6.</w:t>
            </w:r>
            <w:r>
              <w:rPr>
                <w:rFonts w:hint="eastAsia" w:ascii="仿宋_GB2312" w:hAnsi="宋体" w:eastAsia="仿宋_GB2312" w:cs="仿宋_GB2312"/>
                <w:kern w:val="0"/>
                <w:sz w:val="20"/>
                <w:szCs w:val="20"/>
              </w:rPr>
              <w:t>形成党委（党组织）意识形态工作责任制，建立加强意识形态阵地管理的有效机制，做好域内各类学生读本、校本课程政治性审核工作，确保方向正确，工作平稳，成效明显。</w:t>
            </w:r>
          </w:p>
        </w:tc>
        <w:tc>
          <w:tcPr>
            <w:tcW w:w="660" w:type="dxa"/>
            <w:noWrap w:val="0"/>
            <w:vAlign w:val="center"/>
          </w:tcPr>
          <w:p>
            <w:pPr>
              <w:spacing w:line="24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540" w:type="dxa"/>
            <w:noWrap w:val="0"/>
            <w:vAlign w:val="center"/>
          </w:tcPr>
          <w:p>
            <w:pPr>
              <w:spacing w:line="240" w:lineRule="exact"/>
              <w:textAlignment w:val="center"/>
              <w:rPr>
                <w:rFonts w:ascii="仿宋_GB2312" w:hAnsi="宋体" w:eastAsia="仿宋_GB2312" w:cs="仿宋_GB2312"/>
                <w:kern w:val="0"/>
                <w:sz w:val="20"/>
                <w:szCs w:val="20"/>
              </w:rPr>
            </w:pPr>
            <w:r>
              <w:rPr>
                <w:rFonts w:hint="eastAsia" w:ascii="仿宋_GB2312" w:hAnsi="仿宋_GB2312" w:eastAsia="仿宋_GB2312" w:cs="仿宋_GB2312"/>
                <w:kern w:val="0"/>
                <w:sz w:val="20"/>
                <w:szCs w:val="20"/>
              </w:rPr>
              <w:t>查阅档案资料，</w:t>
            </w:r>
            <w:r>
              <w:rPr>
                <w:rFonts w:hint="eastAsia" w:ascii="仿宋_GB2312" w:hAnsi="仿宋_GB2312" w:eastAsia="仿宋_GB2312" w:cs="仿宋_GB2312"/>
                <w:sz w:val="20"/>
                <w:szCs w:val="20"/>
              </w:rPr>
              <w:t>实地了解情况的方式进行。</w:t>
            </w:r>
            <w:r>
              <w:rPr>
                <w:rFonts w:hint="eastAsia" w:ascii="仿宋_GB2312" w:hAnsi="宋体" w:eastAsia="仿宋_GB2312" w:cs="仿宋_GB2312"/>
                <w:kern w:val="0"/>
                <w:sz w:val="20"/>
                <w:szCs w:val="20"/>
              </w:rPr>
              <w:t>党委（党组织）意识形态工作责任制不明确扣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分，域内学生读本、校本课程审核不严格、出现问题的扣</w:t>
            </w:r>
            <w:r>
              <w:rPr>
                <w:rFonts w:ascii="仿宋_GB2312" w:hAnsi="宋体" w:eastAsia="仿宋_GB2312" w:cs="仿宋_GB2312"/>
                <w:kern w:val="0"/>
                <w:sz w:val="20"/>
                <w:szCs w:val="20"/>
              </w:rPr>
              <w:t>0.3</w:t>
            </w:r>
            <w:r>
              <w:rPr>
                <w:rFonts w:hint="eastAsia" w:ascii="仿宋_GB2312" w:hAnsi="宋体" w:eastAsia="仿宋_GB2312" w:cs="仿宋_GB2312"/>
                <w:kern w:val="0"/>
                <w:sz w:val="20"/>
                <w:szCs w:val="20"/>
              </w:rPr>
              <w:t>分，发生重大网络舆情扣</w:t>
            </w:r>
            <w:r>
              <w:rPr>
                <w:rFonts w:ascii="仿宋_GB2312" w:hAnsi="宋体" w:eastAsia="仿宋_GB2312" w:cs="仿宋_GB2312"/>
                <w:kern w:val="0"/>
                <w:sz w:val="20"/>
                <w:szCs w:val="20"/>
              </w:rPr>
              <w:t>0.3</w:t>
            </w:r>
            <w:r>
              <w:rPr>
                <w:rFonts w:hint="eastAsia" w:ascii="仿宋_GB2312" w:hAnsi="宋体" w:eastAsia="仿宋_GB2312" w:cs="仿宋_GB2312"/>
                <w:kern w:val="0"/>
                <w:sz w:val="20"/>
                <w:szCs w:val="20"/>
              </w:rPr>
              <w:t>分。</w:t>
            </w:r>
          </w:p>
        </w:tc>
        <w:tc>
          <w:tcPr>
            <w:tcW w:w="14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县教体局</w:t>
            </w:r>
          </w:p>
        </w:tc>
        <w:tc>
          <w:tcPr>
            <w:tcW w:w="177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组织纪检室</w:t>
            </w:r>
          </w:p>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教 研 室</w:t>
            </w:r>
          </w:p>
        </w:tc>
        <w:tc>
          <w:tcPr>
            <w:tcW w:w="1567" w:type="dxa"/>
            <w:noWrap w:val="0"/>
            <w:vAlign w:val="top"/>
          </w:tcPr>
          <w:p>
            <w:pPr>
              <w:ind w:firstLine="482" w:firstLineChars="200"/>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trPr>
        <w:tc>
          <w:tcPr>
            <w:tcW w:w="1125" w:type="dxa"/>
            <w:vMerge w:val="continue"/>
            <w:noWrap w:val="0"/>
            <w:vAlign w:val="top"/>
          </w:tcPr>
          <w:p>
            <w:pPr>
              <w:rPr>
                <w:rFonts w:ascii="仿宋_GB2312" w:hAnsi="宋体" w:eastAsia="仿宋_GB2312" w:cs="仿宋_GB2312"/>
                <w:kern w:val="0"/>
                <w:sz w:val="20"/>
                <w:szCs w:val="20"/>
              </w:rPr>
            </w:pPr>
          </w:p>
        </w:tc>
        <w:tc>
          <w:tcPr>
            <w:tcW w:w="1185" w:type="dxa"/>
            <w:vMerge w:val="continue"/>
            <w:noWrap w:val="0"/>
            <w:vAlign w:val="center"/>
          </w:tcPr>
          <w:p>
            <w:pPr>
              <w:jc w:val="center"/>
            </w:pPr>
          </w:p>
        </w:tc>
        <w:tc>
          <w:tcPr>
            <w:tcW w:w="3378" w:type="dxa"/>
            <w:noWrap w:val="0"/>
            <w:vAlign w:val="center"/>
          </w:tcPr>
          <w:p>
            <w:pPr>
              <w:spacing w:line="24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C7.</w:t>
            </w:r>
            <w:r>
              <w:rPr>
                <w:rFonts w:hint="eastAsia" w:ascii="仿宋_GB2312" w:hAnsi="宋体" w:eastAsia="仿宋_GB2312" w:cs="仿宋_GB2312"/>
                <w:kern w:val="0"/>
                <w:sz w:val="20"/>
                <w:szCs w:val="20"/>
              </w:rPr>
              <w:t>建立健全学校安全风险与安全稳定责任体系、防控体系，形成学校安全监管长效机制和预警与应对机制，确保辖区内学校无安全稳定事故发生，无校园宗教渗透现象，做到制度健全，落实有力有效。制定校园安全工作实施方案和安全事故应急预案，明确县级政府有关部门和乡镇政府对学校安全管理工作职责，经常性开展校园安全及周边环境综合整治，学校环境安全。</w:t>
            </w:r>
          </w:p>
        </w:tc>
        <w:tc>
          <w:tcPr>
            <w:tcW w:w="660" w:type="dxa"/>
            <w:noWrap w:val="0"/>
            <w:vAlign w:val="center"/>
          </w:tcPr>
          <w:p>
            <w:pPr>
              <w:spacing w:line="24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540" w:type="dxa"/>
            <w:noWrap w:val="0"/>
            <w:vAlign w:val="center"/>
          </w:tcPr>
          <w:p>
            <w:pPr>
              <w:spacing w:line="240" w:lineRule="exact"/>
              <w:textAlignment w:val="center"/>
              <w:rPr>
                <w:rFonts w:ascii="仿宋_GB2312" w:hAnsi="宋体" w:eastAsia="仿宋_GB2312" w:cs="仿宋_GB2312"/>
                <w:kern w:val="0"/>
                <w:sz w:val="20"/>
                <w:szCs w:val="20"/>
              </w:rPr>
            </w:pPr>
            <w:r>
              <w:rPr>
                <w:rFonts w:hint="eastAsia" w:ascii="仿宋_GB2312" w:hAnsi="仿宋_GB2312" w:eastAsia="仿宋_GB2312" w:cs="仿宋_GB2312"/>
                <w:kern w:val="0"/>
                <w:sz w:val="20"/>
                <w:szCs w:val="20"/>
              </w:rPr>
              <w:t>查阅公安、交通、综治、卫生、安监、市场监管等部门关于</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“校园欺凌”预防和惩治、校园治安、校园消防、校车安全、校园食品饮用水卫生安全、传染病防控、校服和塑胶跑道质量安全等</w:t>
            </w:r>
            <w:r>
              <w:rPr>
                <w:rFonts w:hint="eastAsia" w:ascii="仿宋_GB2312" w:hAnsi="仿宋_GB2312" w:eastAsia="仿宋_GB2312" w:cs="仿宋_GB2312"/>
                <w:kern w:val="0"/>
                <w:sz w:val="20"/>
                <w:szCs w:val="20"/>
              </w:rPr>
              <w:t>档案资料，</w:t>
            </w:r>
            <w:r>
              <w:rPr>
                <w:rFonts w:hint="eastAsia" w:ascii="仿宋_GB2312" w:hAnsi="仿宋_GB2312" w:eastAsia="仿宋_GB2312" w:cs="仿宋_GB2312"/>
                <w:sz w:val="20"/>
                <w:szCs w:val="20"/>
              </w:rPr>
              <w:t>实地了解情况。没有制定</w:t>
            </w:r>
            <w:r>
              <w:rPr>
                <w:rFonts w:hint="eastAsia" w:ascii="仿宋_GB2312" w:hAnsi="仿宋_GB2312" w:eastAsia="仿宋_GB2312" w:cs="仿宋_GB2312"/>
                <w:kern w:val="0"/>
                <w:sz w:val="20"/>
                <w:szCs w:val="20"/>
              </w:rPr>
              <w:t>学校安全风险与安全稳定防控政策措施的扣</w:t>
            </w:r>
            <w:r>
              <w:rPr>
                <w:rFonts w:ascii="仿宋_GB2312" w:hAnsi="仿宋_GB2312" w:eastAsia="仿宋_GB2312" w:cs="仿宋_GB2312"/>
                <w:kern w:val="0"/>
                <w:sz w:val="20"/>
                <w:szCs w:val="20"/>
              </w:rPr>
              <w:t>0.3</w:t>
            </w:r>
            <w:r>
              <w:rPr>
                <w:rFonts w:hint="eastAsia" w:ascii="仿宋_GB2312" w:hAnsi="仿宋_GB2312" w:eastAsia="仿宋_GB2312" w:cs="仿宋_GB2312"/>
                <w:kern w:val="0"/>
                <w:sz w:val="20"/>
                <w:szCs w:val="20"/>
              </w:rPr>
              <w:t>分；没有制定学校安全监管、预警与应对等相关机制的扣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分；开展学校安全专项督导一年不少于两次，每少</w:t>
            </w:r>
            <w:r>
              <w:rPr>
                <w:rFonts w:ascii="仿宋_GB2312" w:hAnsi="仿宋_GB2312" w:eastAsia="仿宋_GB2312" w:cs="仿宋_GB2312"/>
                <w:kern w:val="0"/>
                <w:sz w:val="20"/>
                <w:szCs w:val="20"/>
              </w:rPr>
              <w:t>1</w:t>
            </w:r>
            <w:r>
              <w:rPr>
                <w:rFonts w:hint="eastAsia" w:ascii="仿宋_GB2312" w:hAnsi="仿宋_GB2312" w:eastAsia="仿宋_GB2312" w:cs="仿宋_GB2312"/>
                <w:kern w:val="0"/>
                <w:sz w:val="20"/>
                <w:szCs w:val="20"/>
              </w:rPr>
              <w:t>次扣</w:t>
            </w:r>
            <w:r>
              <w:rPr>
                <w:rFonts w:ascii="仿宋_GB2312" w:hAnsi="仿宋_GB2312" w:eastAsia="仿宋_GB2312" w:cs="仿宋_GB2312"/>
                <w:kern w:val="0"/>
                <w:sz w:val="20"/>
                <w:szCs w:val="20"/>
              </w:rPr>
              <w:t>0.1</w:t>
            </w:r>
            <w:r>
              <w:rPr>
                <w:rFonts w:hint="eastAsia" w:ascii="仿宋_GB2312" w:hAnsi="仿宋_GB2312" w:eastAsia="仿宋_GB2312" w:cs="仿宋_GB2312"/>
                <w:kern w:val="0"/>
                <w:sz w:val="20"/>
                <w:szCs w:val="20"/>
              </w:rPr>
              <w:t>分。管辖区域内学校出现重大安全稳定事故，则该项不得分。</w:t>
            </w:r>
          </w:p>
        </w:tc>
        <w:tc>
          <w:tcPr>
            <w:tcW w:w="14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县委政法委</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县公安局</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交通局</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卫生健康局</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应急管理局</w:t>
            </w:r>
          </w:p>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市场监管局</w:t>
            </w:r>
          </w:p>
        </w:tc>
        <w:tc>
          <w:tcPr>
            <w:tcW w:w="177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法制安全室</w:t>
            </w:r>
          </w:p>
        </w:tc>
        <w:tc>
          <w:tcPr>
            <w:tcW w:w="1567" w:type="dxa"/>
            <w:noWrap w:val="0"/>
            <w:vAlign w:val="top"/>
          </w:tcPr>
          <w:p>
            <w:pPr>
              <w:jc w:val="center"/>
              <w:rPr>
                <w:rFonts w:hint="eastAsia" w:ascii="仿宋_GB2312" w:hAnsi="仿宋_GB2312" w:eastAsia="仿宋_GB2312" w:cs="仿宋_GB2312"/>
                <w:b/>
                <w:bCs/>
                <w:kern w:val="0"/>
                <w:sz w:val="24"/>
              </w:rPr>
            </w:pPr>
          </w:p>
        </w:tc>
      </w:tr>
    </w:tbl>
    <w:tbl>
      <w:tblPr>
        <w:tblStyle w:val="3"/>
        <w:tblpPr w:leftFromText="180" w:rightFromText="180" w:vertAnchor="text" w:horzAnchor="page" w:tblpX="1186" w:tblpY="27"/>
        <w:tblOverlap w:val="never"/>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215"/>
        <w:gridCol w:w="3435"/>
        <w:gridCol w:w="735"/>
        <w:gridCol w:w="3180"/>
        <w:gridCol w:w="1718"/>
        <w:gridCol w:w="169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65" w:type="dxa"/>
            <w:noWrap w:val="0"/>
            <w:vAlign w:val="center"/>
          </w:tcPr>
          <w:p>
            <w:pPr>
              <w:spacing w:line="240" w:lineRule="exact"/>
              <w:jc w:val="center"/>
              <w:textAlignment w:val="center"/>
              <w:rPr>
                <w:rFonts w:ascii="宋体" w:cs="宋体"/>
                <w:b/>
                <w:szCs w:val="21"/>
              </w:rPr>
            </w:pPr>
            <w:r>
              <w:rPr>
                <w:rFonts w:hint="eastAsia" w:ascii="宋体" w:hAnsi="宋体" w:cs="宋体"/>
                <w:b/>
                <w:kern w:val="0"/>
                <w:szCs w:val="21"/>
              </w:rPr>
              <w:t>一级指标</w:t>
            </w:r>
          </w:p>
        </w:tc>
        <w:tc>
          <w:tcPr>
            <w:tcW w:w="1215" w:type="dxa"/>
            <w:noWrap w:val="0"/>
            <w:vAlign w:val="center"/>
          </w:tcPr>
          <w:p>
            <w:pPr>
              <w:spacing w:line="240" w:lineRule="exact"/>
              <w:jc w:val="center"/>
              <w:textAlignment w:val="center"/>
              <w:rPr>
                <w:rFonts w:ascii="宋体" w:cs="宋体"/>
                <w:b/>
                <w:szCs w:val="21"/>
              </w:rPr>
            </w:pPr>
            <w:r>
              <w:rPr>
                <w:rFonts w:hint="eastAsia" w:ascii="宋体" w:hAnsi="宋体" w:cs="宋体"/>
                <w:b/>
                <w:kern w:val="0"/>
                <w:szCs w:val="21"/>
              </w:rPr>
              <w:t>二级指标</w:t>
            </w:r>
          </w:p>
        </w:tc>
        <w:tc>
          <w:tcPr>
            <w:tcW w:w="3435" w:type="dxa"/>
            <w:noWrap w:val="0"/>
            <w:vAlign w:val="center"/>
          </w:tcPr>
          <w:p>
            <w:pPr>
              <w:spacing w:line="240" w:lineRule="exact"/>
              <w:jc w:val="center"/>
              <w:textAlignment w:val="center"/>
              <w:rPr>
                <w:rFonts w:ascii="宋体" w:cs="宋体"/>
                <w:b/>
                <w:szCs w:val="21"/>
              </w:rPr>
            </w:pPr>
            <w:r>
              <w:rPr>
                <w:rFonts w:hint="eastAsia" w:ascii="宋体" w:hAnsi="宋体" w:cs="宋体"/>
                <w:b/>
                <w:kern w:val="0"/>
                <w:szCs w:val="21"/>
              </w:rPr>
              <w:t>三级指标</w:t>
            </w:r>
          </w:p>
        </w:tc>
        <w:tc>
          <w:tcPr>
            <w:tcW w:w="735" w:type="dxa"/>
            <w:noWrap w:val="0"/>
            <w:vAlign w:val="center"/>
          </w:tcPr>
          <w:p>
            <w:pPr>
              <w:spacing w:line="240" w:lineRule="exact"/>
              <w:textAlignment w:val="center"/>
              <w:rPr>
                <w:rFonts w:ascii="宋体" w:cs="宋体"/>
                <w:b/>
                <w:szCs w:val="21"/>
              </w:rPr>
            </w:pPr>
            <w:r>
              <w:rPr>
                <w:rFonts w:hint="eastAsia" w:ascii="宋体" w:hAnsi="宋体" w:cs="宋体"/>
                <w:b/>
                <w:szCs w:val="21"/>
              </w:rPr>
              <w:t>分值</w:t>
            </w:r>
          </w:p>
        </w:tc>
        <w:tc>
          <w:tcPr>
            <w:tcW w:w="3180" w:type="dxa"/>
            <w:noWrap w:val="0"/>
            <w:vAlign w:val="center"/>
          </w:tcPr>
          <w:p>
            <w:pPr>
              <w:spacing w:line="240" w:lineRule="exact"/>
              <w:jc w:val="center"/>
              <w:textAlignment w:val="center"/>
              <w:rPr>
                <w:rFonts w:ascii="宋体" w:cs="宋体"/>
                <w:b/>
                <w:szCs w:val="21"/>
              </w:rPr>
            </w:pPr>
            <w:r>
              <w:rPr>
                <w:rFonts w:hint="eastAsia" w:ascii="宋体" w:hAnsi="宋体" w:cs="宋体"/>
                <w:b/>
                <w:szCs w:val="21"/>
              </w:rPr>
              <w:t>评分要点</w:t>
            </w:r>
          </w:p>
        </w:tc>
        <w:tc>
          <w:tcPr>
            <w:tcW w:w="1718"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695"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545"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 xml:space="preserve">备  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165" w:type="dxa"/>
            <w:noWrap w:val="0"/>
            <w:vAlign w:val="center"/>
          </w:tcPr>
          <w:p>
            <w:pPr>
              <w:spacing w:line="240" w:lineRule="exact"/>
              <w:jc w:val="center"/>
              <w:textAlignment w:val="center"/>
              <w:rPr>
                <w:rFonts w:ascii="宋体" w:cs="宋体"/>
                <w:b/>
                <w:kern w:val="0"/>
                <w:szCs w:val="21"/>
              </w:rPr>
            </w:pPr>
            <w:r>
              <w:rPr>
                <w:rFonts w:ascii="仿宋_GB2312" w:hAnsi="宋体" w:eastAsia="仿宋_GB2312" w:cs="仿宋_GB2312"/>
                <w:kern w:val="0"/>
                <w:sz w:val="20"/>
                <w:szCs w:val="20"/>
              </w:rPr>
              <w:t>A1.</w:t>
            </w:r>
            <w:r>
              <w:rPr>
                <w:rFonts w:hint="eastAsia" w:ascii="仿宋_GB2312" w:hAnsi="宋体" w:eastAsia="仿宋_GB2312" w:cs="仿宋_GB2312"/>
                <w:kern w:val="0"/>
                <w:sz w:val="20"/>
                <w:szCs w:val="20"/>
              </w:rPr>
              <w:t>贯彻执行党的教育方针情况（</w:t>
            </w:r>
            <w:r>
              <w:rPr>
                <w:rFonts w:ascii="仿宋_GB2312" w:hAnsi="宋体" w:eastAsia="仿宋_GB2312" w:cs="仿宋_GB2312"/>
                <w:kern w:val="0"/>
                <w:sz w:val="20"/>
                <w:szCs w:val="20"/>
              </w:rPr>
              <w:t xml:space="preserve"> 19 </w:t>
            </w:r>
            <w:r>
              <w:rPr>
                <w:rFonts w:hint="eastAsia" w:ascii="仿宋_GB2312" w:hAnsi="宋体" w:eastAsia="仿宋_GB2312" w:cs="仿宋_GB2312"/>
                <w:kern w:val="0"/>
                <w:sz w:val="20"/>
                <w:szCs w:val="20"/>
              </w:rPr>
              <w:t>分）</w:t>
            </w:r>
          </w:p>
        </w:tc>
        <w:tc>
          <w:tcPr>
            <w:tcW w:w="1215" w:type="dxa"/>
            <w:noWrap w:val="0"/>
            <w:vAlign w:val="center"/>
          </w:tcPr>
          <w:p>
            <w:pPr>
              <w:jc w:val="center"/>
            </w:pPr>
            <w:r>
              <w:rPr>
                <w:rFonts w:ascii="仿宋_GB2312" w:hAnsi="宋体" w:eastAsia="仿宋_GB2312" w:cs="仿宋_GB2312"/>
                <w:kern w:val="0"/>
                <w:sz w:val="20"/>
                <w:szCs w:val="20"/>
              </w:rPr>
              <w:t>B6.</w:t>
            </w:r>
            <w:r>
              <w:rPr>
                <w:rFonts w:hint="eastAsia" w:ascii="仿宋_GB2312" w:hAnsi="宋体" w:eastAsia="仿宋_GB2312" w:cs="仿宋_GB2312"/>
                <w:kern w:val="0"/>
                <w:sz w:val="20"/>
                <w:szCs w:val="20"/>
              </w:rPr>
              <w:t>综合防控儿童青少年近视</w:t>
            </w:r>
          </w:p>
        </w:tc>
        <w:tc>
          <w:tcPr>
            <w:tcW w:w="3435" w:type="dxa"/>
            <w:noWrap w:val="0"/>
            <w:vAlign w:val="center"/>
          </w:tcPr>
          <w:p>
            <w:pPr>
              <w:spacing w:line="24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C8.</w:t>
            </w:r>
            <w:r>
              <w:rPr>
                <w:rFonts w:hint="eastAsia" w:ascii="仿宋_GB2312" w:hAnsi="宋体" w:eastAsia="仿宋_GB2312" w:cs="仿宋_GB2312"/>
                <w:kern w:val="0"/>
                <w:sz w:val="20"/>
                <w:szCs w:val="20"/>
              </w:rPr>
              <w:t>建立健全教育行政部门和学校综合防控儿童青少年近视防控体系，形成近视防控工作的长效机制和问责机制。确保每年各县（市、区）近视率下降</w:t>
            </w:r>
            <w:r>
              <w:rPr>
                <w:rFonts w:ascii="仿宋_GB2312" w:hAnsi="宋体" w:eastAsia="仿宋_GB2312" w:cs="仿宋_GB2312"/>
                <w:kern w:val="0"/>
                <w:sz w:val="20"/>
                <w:szCs w:val="20"/>
              </w:rPr>
              <w:t>0.5%</w:t>
            </w:r>
            <w:r>
              <w:rPr>
                <w:rFonts w:hint="eastAsia" w:ascii="仿宋_GB2312" w:hAnsi="宋体" w:eastAsia="仿宋_GB2312" w:cs="仿宋_GB2312"/>
                <w:kern w:val="0"/>
                <w:sz w:val="20"/>
                <w:szCs w:val="20"/>
              </w:rPr>
              <w:t>，近视高发县（市、区）下降</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w:t>
            </w:r>
          </w:p>
        </w:tc>
        <w:tc>
          <w:tcPr>
            <w:tcW w:w="735" w:type="dxa"/>
            <w:noWrap w:val="0"/>
            <w:vAlign w:val="center"/>
          </w:tcPr>
          <w:p>
            <w:pPr>
              <w:spacing w:line="24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80" w:type="dxa"/>
            <w:noWrap w:val="0"/>
            <w:vAlign w:val="center"/>
          </w:tcPr>
          <w:p>
            <w:pPr>
              <w:spacing w:line="240" w:lineRule="exact"/>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查阅资料、实地核查的方式进行，综合防控儿童青少年近视实施方案落实少一项扣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w:t>
            </w:r>
          </w:p>
        </w:tc>
        <w:tc>
          <w:tcPr>
            <w:tcW w:w="1718" w:type="dxa"/>
            <w:noWrap w:val="0"/>
            <w:vAlign w:val="center"/>
          </w:tcPr>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县教体局</w:t>
            </w:r>
          </w:p>
        </w:tc>
        <w:tc>
          <w:tcPr>
            <w:tcW w:w="1695" w:type="dxa"/>
            <w:noWrap w:val="0"/>
            <w:vAlign w:val="center"/>
          </w:tcPr>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体育中心</w:t>
            </w:r>
          </w:p>
        </w:tc>
        <w:tc>
          <w:tcPr>
            <w:tcW w:w="1545"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165" w:type="dxa"/>
            <w:vMerge w:val="restart"/>
            <w:noWrap w:val="0"/>
            <w:vAlign w:val="center"/>
          </w:tcPr>
          <w:p>
            <w:pPr>
              <w:jc w:val="center"/>
            </w:pPr>
            <w:r>
              <w:rPr>
                <w:rFonts w:ascii="仿宋_GB2312" w:hAnsi="宋体" w:eastAsia="仿宋_GB2312" w:cs="仿宋_GB2312"/>
                <w:kern w:val="0"/>
                <w:sz w:val="20"/>
                <w:szCs w:val="20"/>
              </w:rPr>
              <w:t>A2.</w:t>
            </w:r>
            <w:r>
              <w:rPr>
                <w:rFonts w:hint="eastAsia" w:ascii="仿宋_GB2312" w:hAnsi="宋体" w:eastAsia="仿宋_GB2312" w:cs="仿宋_GB2312"/>
                <w:kern w:val="0"/>
                <w:sz w:val="20"/>
                <w:szCs w:val="20"/>
              </w:rPr>
              <w:t>落实教育法律法规规章和政策情况（</w:t>
            </w:r>
            <w:r>
              <w:rPr>
                <w:rFonts w:ascii="仿宋_GB2312" w:hAnsi="宋体" w:eastAsia="仿宋_GB2312" w:cs="仿宋_GB2312"/>
                <w:kern w:val="0"/>
                <w:sz w:val="20"/>
                <w:szCs w:val="20"/>
              </w:rPr>
              <w:t>11</w:t>
            </w:r>
            <w:r>
              <w:rPr>
                <w:rFonts w:hint="eastAsia" w:ascii="仿宋_GB2312" w:hAnsi="宋体" w:eastAsia="仿宋_GB2312" w:cs="仿宋_GB2312"/>
                <w:kern w:val="0"/>
                <w:sz w:val="20"/>
                <w:szCs w:val="20"/>
              </w:rPr>
              <w:t>分）</w:t>
            </w:r>
          </w:p>
        </w:tc>
        <w:tc>
          <w:tcPr>
            <w:tcW w:w="1215" w:type="dxa"/>
            <w:vMerge w:val="restart"/>
            <w:noWrap w:val="0"/>
            <w:vAlign w:val="center"/>
          </w:tcPr>
          <w:p>
            <w:pPr>
              <w:jc w:val="center"/>
            </w:pPr>
            <w:r>
              <w:rPr>
                <w:rFonts w:ascii="仿宋_GB2312" w:hAnsi="宋体" w:eastAsia="仿宋_GB2312" w:cs="仿宋_GB2312"/>
                <w:kern w:val="0"/>
                <w:sz w:val="20"/>
                <w:szCs w:val="20"/>
              </w:rPr>
              <w:t>B7.</w:t>
            </w:r>
            <w:r>
              <w:rPr>
                <w:rFonts w:hint="eastAsia" w:ascii="仿宋_GB2312" w:hAnsi="宋体" w:eastAsia="仿宋_GB2312" w:cs="仿宋_GB2312"/>
                <w:kern w:val="0"/>
                <w:sz w:val="20"/>
                <w:szCs w:val="20"/>
              </w:rPr>
              <w:t>落实国家教育法律、法规、规章</w:t>
            </w:r>
          </w:p>
        </w:tc>
        <w:tc>
          <w:tcPr>
            <w:tcW w:w="3435" w:type="dxa"/>
            <w:noWrap w:val="0"/>
            <w:vAlign w:val="center"/>
          </w:tcPr>
          <w:p>
            <w:pPr>
              <w:spacing w:line="24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C9.</w:t>
            </w:r>
            <w:r>
              <w:rPr>
                <w:rFonts w:hint="eastAsia" w:ascii="仿宋_GB2312" w:hAnsi="宋体" w:eastAsia="仿宋_GB2312" w:cs="仿宋_GB2312"/>
                <w:kern w:val="0"/>
                <w:sz w:val="20"/>
                <w:szCs w:val="20"/>
              </w:rPr>
              <w:t>依法制定并公布行政权力清单与责任清单，并有效落实，建立重大教育决策事项民意调查制度，指导建立健全学校章程和各项规章制度。</w:t>
            </w:r>
          </w:p>
        </w:tc>
        <w:tc>
          <w:tcPr>
            <w:tcW w:w="735" w:type="dxa"/>
            <w:noWrap w:val="0"/>
            <w:vAlign w:val="center"/>
          </w:tcPr>
          <w:p>
            <w:pPr>
              <w:spacing w:line="24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80" w:type="dxa"/>
            <w:noWrap w:val="0"/>
            <w:vAlign w:val="center"/>
          </w:tcPr>
          <w:p>
            <w:pPr>
              <w:spacing w:line="240" w:lineRule="exact"/>
              <w:textAlignment w:val="center"/>
              <w:rPr>
                <w:rFonts w:ascii="仿宋_GB2312" w:hAnsi="宋体" w:eastAsia="仿宋_GB2312" w:cs="仿宋_GB2312"/>
                <w:kern w:val="0"/>
                <w:sz w:val="20"/>
                <w:szCs w:val="20"/>
              </w:rPr>
            </w:pPr>
            <w:r>
              <w:rPr>
                <w:rFonts w:hint="eastAsia" w:ascii="仿宋_GB2312" w:hAnsi="仿宋_GB2312" w:eastAsia="仿宋_GB2312" w:cs="仿宋_GB2312"/>
                <w:kern w:val="0"/>
                <w:sz w:val="20"/>
                <w:szCs w:val="20"/>
              </w:rPr>
              <w:t>查阅档案资料，</w:t>
            </w:r>
            <w:r>
              <w:rPr>
                <w:rFonts w:hint="eastAsia" w:ascii="仿宋_GB2312" w:hAnsi="仿宋_GB2312" w:eastAsia="仿宋_GB2312" w:cs="仿宋_GB2312"/>
                <w:sz w:val="20"/>
                <w:szCs w:val="20"/>
              </w:rPr>
              <w:t>实地了解情况的方式进行。没有</w:t>
            </w:r>
            <w:r>
              <w:rPr>
                <w:rFonts w:hint="eastAsia" w:ascii="仿宋_GB2312" w:hAnsi="宋体" w:eastAsia="仿宋_GB2312" w:cs="仿宋_GB2312"/>
                <w:kern w:val="0"/>
                <w:sz w:val="20"/>
                <w:szCs w:val="20"/>
              </w:rPr>
              <w:t>制定并公布行政权力清单与责任清单的扣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分，学校章程没有按计划建立完善的每发现</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所扣</w:t>
            </w:r>
            <w:r>
              <w:rPr>
                <w:rFonts w:ascii="仿宋_GB2312" w:hAnsi="宋体" w:eastAsia="仿宋_GB2312" w:cs="仿宋_GB2312"/>
                <w:kern w:val="0"/>
                <w:sz w:val="20"/>
                <w:szCs w:val="20"/>
              </w:rPr>
              <w:t>0.05</w:t>
            </w:r>
            <w:r>
              <w:rPr>
                <w:rFonts w:hint="eastAsia" w:ascii="仿宋_GB2312" w:hAnsi="宋体" w:eastAsia="仿宋_GB2312" w:cs="仿宋_GB2312"/>
                <w:kern w:val="0"/>
                <w:sz w:val="20"/>
                <w:szCs w:val="20"/>
              </w:rPr>
              <w:t>分。</w:t>
            </w:r>
          </w:p>
        </w:tc>
        <w:tc>
          <w:tcPr>
            <w:tcW w:w="1718" w:type="dxa"/>
            <w:noWrap w:val="0"/>
            <w:vAlign w:val="center"/>
          </w:tcPr>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人事劳资科</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信息管理室</w:t>
            </w:r>
          </w:p>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办 公 室</w:t>
            </w:r>
          </w:p>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督导室</w:t>
            </w:r>
          </w:p>
        </w:tc>
        <w:tc>
          <w:tcPr>
            <w:tcW w:w="1545" w:type="dxa"/>
            <w:noWrap w:val="0"/>
            <w:vAlign w:val="top"/>
          </w:tcPr>
          <w:p>
            <w:pPr>
              <w:jc w:val="center"/>
              <w:rPr>
                <w:rFonts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165" w:type="dxa"/>
            <w:vMerge w:val="continue"/>
            <w:noWrap w:val="0"/>
            <w:vAlign w:val="center"/>
          </w:tcPr>
          <w:p>
            <w:pPr>
              <w:jc w:val="center"/>
              <w:rPr>
                <w:rFonts w:ascii="仿宋_GB2312" w:hAnsi="宋体" w:eastAsia="仿宋_GB2312" w:cs="仿宋_GB2312"/>
                <w:kern w:val="0"/>
                <w:sz w:val="20"/>
                <w:szCs w:val="20"/>
              </w:rPr>
            </w:pPr>
          </w:p>
        </w:tc>
        <w:tc>
          <w:tcPr>
            <w:tcW w:w="1215" w:type="dxa"/>
            <w:vMerge w:val="continue"/>
            <w:noWrap w:val="0"/>
            <w:vAlign w:val="center"/>
          </w:tcPr>
          <w:p>
            <w:pPr>
              <w:jc w:val="center"/>
              <w:rPr>
                <w:rFonts w:ascii="仿宋_GB2312" w:hAnsi="宋体" w:eastAsia="仿宋_GB2312" w:cs="仿宋_GB2312"/>
                <w:kern w:val="0"/>
                <w:sz w:val="20"/>
                <w:szCs w:val="20"/>
              </w:rPr>
            </w:pPr>
          </w:p>
        </w:tc>
        <w:tc>
          <w:tcPr>
            <w:tcW w:w="3435" w:type="dxa"/>
            <w:noWrap w:val="0"/>
            <w:vAlign w:val="center"/>
          </w:tcPr>
          <w:p>
            <w:pPr>
              <w:spacing w:line="24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C10.</w:t>
            </w:r>
            <w:r>
              <w:rPr>
                <w:rFonts w:hint="eastAsia" w:ascii="仿宋_GB2312" w:hAnsi="宋体" w:eastAsia="仿宋_GB2312" w:cs="仿宋_GB2312"/>
                <w:kern w:val="0"/>
                <w:sz w:val="20"/>
                <w:szCs w:val="20"/>
              </w:rPr>
              <w:t>建立健全教育行政执法体制机制，依法查处违法违规行为，妥善处置教育领域纠纷，依法维护学校和师生合法权益。构建政府依法行政、学校依法办学、教师依法执教、社会依法支持和参与教育治理的新格局。</w:t>
            </w:r>
          </w:p>
        </w:tc>
        <w:tc>
          <w:tcPr>
            <w:tcW w:w="735" w:type="dxa"/>
            <w:noWrap w:val="0"/>
            <w:vAlign w:val="center"/>
          </w:tcPr>
          <w:p>
            <w:pPr>
              <w:spacing w:line="24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80" w:type="dxa"/>
            <w:noWrap w:val="0"/>
            <w:vAlign w:val="center"/>
          </w:tcPr>
          <w:p>
            <w:pPr>
              <w:spacing w:line="240" w:lineRule="exact"/>
              <w:textAlignment w:val="center"/>
              <w:rPr>
                <w:rFonts w:ascii="仿宋_GB2312" w:hAnsi="仿宋_GB2312" w:eastAsia="仿宋_GB2312" w:cs="仿宋_GB2312"/>
                <w:kern w:val="0"/>
                <w:sz w:val="20"/>
                <w:szCs w:val="20"/>
              </w:rPr>
            </w:pPr>
            <w:r>
              <w:rPr>
                <w:rFonts w:hint="eastAsia" w:ascii="仿宋_GB2312" w:hAnsi="宋体" w:eastAsia="仿宋_GB2312" w:cs="仿宋_GB2312"/>
                <w:kern w:val="0"/>
                <w:sz w:val="20"/>
                <w:szCs w:val="20"/>
              </w:rPr>
              <w:t>查阅公安、司法、法院等维护学校和师生合法权益的相关案例，实地检查学校，个别访谈，对于教育领域出现纠纷，处置不当，造成不良社会影响的，视严重程度扣</w:t>
            </w:r>
            <w:r>
              <w:rPr>
                <w:rFonts w:ascii="仿宋_GB2312" w:hAnsi="宋体" w:eastAsia="仿宋_GB2312" w:cs="仿宋_GB2312"/>
                <w:kern w:val="0"/>
                <w:sz w:val="20"/>
                <w:szCs w:val="20"/>
              </w:rPr>
              <w:t>0.2-1</w:t>
            </w:r>
            <w:r>
              <w:rPr>
                <w:rFonts w:hint="eastAsia" w:ascii="仿宋_GB2312" w:hAnsi="宋体" w:eastAsia="仿宋_GB2312" w:cs="仿宋_GB2312"/>
                <w:kern w:val="0"/>
                <w:sz w:val="20"/>
                <w:szCs w:val="20"/>
              </w:rPr>
              <w:t>分。</w:t>
            </w:r>
          </w:p>
        </w:tc>
        <w:tc>
          <w:tcPr>
            <w:tcW w:w="1718" w:type="dxa"/>
            <w:noWrap w:val="0"/>
            <w:vAlign w:val="center"/>
          </w:tcPr>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公安局</w:t>
            </w:r>
          </w:p>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司法局</w:t>
            </w:r>
          </w:p>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法院</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法制安全室</w:t>
            </w:r>
          </w:p>
        </w:tc>
        <w:tc>
          <w:tcPr>
            <w:tcW w:w="1545" w:type="dxa"/>
            <w:noWrap w:val="0"/>
            <w:vAlign w:val="top"/>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165" w:type="dxa"/>
            <w:vMerge w:val="continue"/>
            <w:noWrap w:val="0"/>
            <w:vAlign w:val="center"/>
          </w:tcPr>
          <w:p>
            <w:pPr>
              <w:jc w:val="center"/>
              <w:rPr>
                <w:rFonts w:ascii="仿宋_GB2312" w:hAnsi="宋体" w:eastAsia="仿宋_GB2312" w:cs="仿宋_GB2312"/>
                <w:kern w:val="0"/>
                <w:sz w:val="20"/>
                <w:szCs w:val="20"/>
              </w:rPr>
            </w:pPr>
          </w:p>
        </w:tc>
        <w:tc>
          <w:tcPr>
            <w:tcW w:w="1215" w:type="dxa"/>
            <w:vMerge w:val="continue"/>
            <w:noWrap w:val="0"/>
            <w:vAlign w:val="center"/>
          </w:tcPr>
          <w:p>
            <w:pPr>
              <w:jc w:val="center"/>
            </w:pPr>
          </w:p>
        </w:tc>
        <w:tc>
          <w:tcPr>
            <w:tcW w:w="3435" w:type="dxa"/>
            <w:noWrap w:val="0"/>
            <w:vAlign w:val="center"/>
          </w:tcPr>
          <w:p>
            <w:pPr>
              <w:spacing w:line="24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C11.</w:t>
            </w:r>
            <w:r>
              <w:rPr>
                <w:rFonts w:hint="eastAsia" w:ascii="仿宋_GB2312" w:hAnsi="宋体" w:eastAsia="仿宋_GB2312" w:cs="仿宋_GB2312"/>
                <w:kern w:val="0"/>
                <w:sz w:val="20"/>
                <w:szCs w:val="20"/>
              </w:rPr>
              <w:t>国家、自治区重大教育政策、工程和项目规定的地方配套政策与经费保障得到有效落实，目标如期完成。并建立相应督查问责机制，并有效落实。</w:t>
            </w:r>
          </w:p>
        </w:tc>
        <w:tc>
          <w:tcPr>
            <w:tcW w:w="735" w:type="dxa"/>
            <w:noWrap w:val="0"/>
            <w:vAlign w:val="center"/>
          </w:tcPr>
          <w:p>
            <w:pPr>
              <w:spacing w:line="24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80" w:type="dxa"/>
            <w:noWrap w:val="0"/>
            <w:vAlign w:val="center"/>
          </w:tcPr>
          <w:p>
            <w:pPr>
              <w:spacing w:line="240" w:lineRule="exact"/>
              <w:textAlignment w:val="center"/>
              <w:rPr>
                <w:rFonts w:ascii="仿宋_GB2312" w:hAnsi="宋体" w:eastAsia="仿宋_GB2312" w:cs="仿宋_GB2312"/>
                <w:kern w:val="0"/>
                <w:sz w:val="20"/>
                <w:szCs w:val="20"/>
              </w:rPr>
            </w:pPr>
            <w:r>
              <w:rPr>
                <w:rFonts w:hint="eastAsia" w:ascii="仿宋_GB2312" w:hAnsi="仿宋_GB2312" w:eastAsia="仿宋_GB2312" w:cs="仿宋_GB2312"/>
                <w:kern w:val="0"/>
                <w:sz w:val="20"/>
                <w:szCs w:val="20"/>
              </w:rPr>
              <w:t>查阅财政局有关落实教育配套资金和经费的文件资料，</w:t>
            </w:r>
            <w:r>
              <w:rPr>
                <w:rFonts w:hint="eastAsia" w:ascii="仿宋_GB2312" w:hAnsi="仿宋_GB2312" w:eastAsia="仿宋_GB2312" w:cs="仿宋_GB2312"/>
                <w:sz w:val="20"/>
                <w:szCs w:val="20"/>
              </w:rPr>
              <w:t>实地查看工程项目等。配套资金没落实的扣</w:t>
            </w:r>
            <w:r>
              <w:rPr>
                <w:rFonts w:ascii="仿宋_GB2312" w:hAnsi="仿宋_GB2312" w:eastAsia="仿宋_GB2312" w:cs="仿宋_GB2312"/>
                <w:sz w:val="20"/>
                <w:szCs w:val="20"/>
              </w:rPr>
              <w:t>0.2</w:t>
            </w:r>
            <w:r>
              <w:rPr>
                <w:rFonts w:hint="eastAsia" w:ascii="仿宋_GB2312" w:hAnsi="仿宋_GB2312" w:eastAsia="仿宋_GB2312" w:cs="仿宋_GB2312"/>
                <w:sz w:val="20"/>
                <w:szCs w:val="20"/>
              </w:rPr>
              <w:t>分；工程和项目没有</w:t>
            </w:r>
            <w:r>
              <w:rPr>
                <w:rFonts w:hint="eastAsia" w:ascii="仿宋_GB2312" w:hAnsi="宋体" w:eastAsia="仿宋_GB2312" w:cs="仿宋_GB2312"/>
                <w:kern w:val="0"/>
                <w:sz w:val="20"/>
                <w:szCs w:val="20"/>
              </w:rPr>
              <w:t>如期完成的扣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分；没有建立督查问责机制或建立没有效落实的扣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718" w:type="dxa"/>
            <w:noWrap w:val="0"/>
            <w:vAlign w:val="center"/>
          </w:tcPr>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财政局</w:t>
            </w:r>
          </w:p>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计财审计室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项目管理室</w:t>
            </w:r>
          </w:p>
        </w:tc>
        <w:tc>
          <w:tcPr>
            <w:tcW w:w="1545" w:type="dxa"/>
            <w:noWrap w:val="0"/>
            <w:vAlign w:val="top"/>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1165" w:type="dxa"/>
            <w:vMerge w:val="continue"/>
            <w:noWrap w:val="0"/>
            <w:vAlign w:val="center"/>
          </w:tcPr>
          <w:p>
            <w:pPr>
              <w:jc w:val="center"/>
              <w:rPr>
                <w:rFonts w:ascii="仿宋_GB2312" w:hAnsi="宋体" w:eastAsia="仿宋_GB2312" w:cs="仿宋_GB2312"/>
                <w:kern w:val="0"/>
                <w:sz w:val="20"/>
                <w:szCs w:val="20"/>
              </w:rPr>
            </w:pPr>
          </w:p>
        </w:tc>
        <w:tc>
          <w:tcPr>
            <w:tcW w:w="1215" w:type="dxa"/>
            <w:vMerge w:val="continue"/>
            <w:noWrap w:val="0"/>
            <w:vAlign w:val="center"/>
          </w:tcPr>
          <w:p>
            <w:pPr>
              <w:jc w:val="center"/>
            </w:pPr>
          </w:p>
        </w:tc>
        <w:tc>
          <w:tcPr>
            <w:tcW w:w="3435" w:type="dxa"/>
            <w:noWrap w:val="0"/>
            <w:vAlign w:val="center"/>
          </w:tcPr>
          <w:p>
            <w:pPr>
              <w:spacing w:line="24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C12.</w:t>
            </w:r>
            <w:r>
              <w:rPr>
                <w:rFonts w:hint="eastAsia" w:ascii="仿宋_GB2312" w:hAnsi="宋体" w:eastAsia="仿宋_GB2312" w:cs="仿宋_GB2312"/>
                <w:kern w:val="0"/>
                <w:sz w:val="20"/>
                <w:szCs w:val="20"/>
              </w:rPr>
              <w:t>严格规范收费行为，无乱收费现象，无有偿补课现象。严格落实教育部等九部门下发的学生减负措施</w:t>
            </w:r>
            <w:r>
              <w:rPr>
                <w:rFonts w:ascii="仿宋_GB2312" w:hAnsi="宋体" w:eastAsia="仿宋_GB2312" w:cs="仿宋_GB2312"/>
                <w:kern w:val="0"/>
                <w:sz w:val="20"/>
                <w:szCs w:val="20"/>
              </w:rPr>
              <w:t>30</w:t>
            </w:r>
            <w:r>
              <w:rPr>
                <w:rFonts w:hint="eastAsia" w:ascii="仿宋_GB2312" w:hAnsi="宋体" w:eastAsia="仿宋_GB2312" w:cs="仿宋_GB2312"/>
                <w:kern w:val="0"/>
                <w:sz w:val="20"/>
                <w:szCs w:val="20"/>
              </w:rPr>
              <w:t>条等相关规定，控制各级各类学生作业总量，无学校和教师违规滥订教辅材料、报刊杂志和课外读物等现象。</w:t>
            </w:r>
          </w:p>
        </w:tc>
        <w:tc>
          <w:tcPr>
            <w:tcW w:w="735" w:type="dxa"/>
            <w:noWrap w:val="0"/>
            <w:vAlign w:val="center"/>
          </w:tcPr>
          <w:p>
            <w:pPr>
              <w:spacing w:line="24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180" w:type="dxa"/>
            <w:noWrap w:val="0"/>
            <w:vAlign w:val="center"/>
          </w:tcPr>
          <w:p>
            <w:pPr>
              <w:spacing w:line="240" w:lineRule="exact"/>
              <w:textAlignment w:val="cente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实地检查学校，个别访谈的方式进行，查出违反一项扣</w:t>
            </w:r>
            <w:r>
              <w:rPr>
                <w:rFonts w:ascii="仿宋_GB2312" w:hAnsi="仿宋_GB2312" w:eastAsia="仿宋_GB2312" w:cs="仿宋_GB2312"/>
                <w:sz w:val="20"/>
                <w:szCs w:val="20"/>
              </w:rPr>
              <w:t>0.2</w:t>
            </w:r>
            <w:r>
              <w:rPr>
                <w:rFonts w:hint="eastAsia" w:ascii="仿宋_GB2312" w:hAnsi="仿宋_GB2312" w:eastAsia="仿宋_GB2312" w:cs="仿宋_GB2312"/>
                <w:sz w:val="20"/>
                <w:szCs w:val="20"/>
              </w:rPr>
              <w:t>分，扣完为止。</w:t>
            </w:r>
          </w:p>
        </w:tc>
        <w:tc>
          <w:tcPr>
            <w:tcW w:w="1718" w:type="dxa"/>
            <w:noWrap w:val="0"/>
            <w:vAlign w:val="center"/>
          </w:tcPr>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计财审计室</w:t>
            </w:r>
          </w:p>
        </w:tc>
        <w:tc>
          <w:tcPr>
            <w:tcW w:w="1545" w:type="dxa"/>
            <w:noWrap w:val="0"/>
            <w:vAlign w:val="top"/>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65" w:type="dxa"/>
            <w:noWrap w:val="0"/>
            <w:vAlign w:val="center"/>
          </w:tcPr>
          <w:p>
            <w:pPr>
              <w:jc w:val="center"/>
              <w:textAlignment w:val="center"/>
              <w:rPr>
                <w:rFonts w:ascii="宋体" w:cs="宋体"/>
                <w:b/>
                <w:szCs w:val="21"/>
              </w:rPr>
            </w:pPr>
            <w:r>
              <w:rPr>
                <w:rFonts w:hint="eastAsia" w:ascii="宋体" w:hAnsi="宋体" w:cs="宋体"/>
                <w:b/>
                <w:kern w:val="0"/>
                <w:szCs w:val="21"/>
              </w:rPr>
              <w:t>一级指标</w:t>
            </w:r>
          </w:p>
        </w:tc>
        <w:tc>
          <w:tcPr>
            <w:tcW w:w="1215" w:type="dxa"/>
            <w:noWrap w:val="0"/>
            <w:vAlign w:val="center"/>
          </w:tcPr>
          <w:p>
            <w:pPr>
              <w:jc w:val="center"/>
              <w:textAlignment w:val="center"/>
              <w:rPr>
                <w:rFonts w:ascii="宋体" w:cs="宋体"/>
                <w:b/>
                <w:szCs w:val="21"/>
              </w:rPr>
            </w:pPr>
            <w:r>
              <w:rPr>
                <w:rFonts w:hint="eastAsia" w:ascii="宋体" w:hAnsi="宋体" w:cs="宋体"/>
                <w:b/>
                <w:kern w:val="0"/>
                <w:szCs w:val="21"/>
              </w:rPr>
              <w:t>二级指标</w:t>
            </w:r>
          </w:p>
        </w:tc>
        <w:tc>
          <w:tcPr>
            <w:tcW w:w="3435" w:type="dxa"/>
            <w:noWrap w:val="0"/>
            <w:vAlign w:val="center"/>
          </w:tcPr>
          <w:p>
            <w:pPr>
              <w:spacing w:line="240" w:lineRule="exact"/>
              <w:jc w:val="center"/>
              <w:textAlignment w:val="center"/>
              <w:rPr>
                <w:rFonts w:ascii="宋体" w:cs="宋体"/>
                <w:b/>
                <w:szCs w:val="21"/>
              </w:rPr>
            </w:pPr>
            <w:r>
              <w:rPr>
                <w:rFonts w:hint="eastAsia" w:ascii="宋体" w:hAnsi="宋体" w:cs="宋体"/>
                <w:b/>
                <w:kern w:val="0"/>
                <w:szCs w:val="21"/>
              </w:rPr>
              <w:t>三级指标</w:t>
            </w:r>
          </w:p>
        </w:tc>
        <w:tc>
          <w:tcPr>
            <w:tcW w:w="735" w:type="dxa"/>
            <w:noWrap w:val="0"/>
            <w:vAlign w:val="center"/>
          </w:tcPr>
          <w:p>
            <w:pPr>
              <w:spacing w:line="240" w:lineRule="exact"/>
              <w:jc w:val="center"/>
              <w:textAlignment w:val="center"/>
              <w:rPr>
                <w:rFonts w:ascii="宋体" w:cs="宋体"/>
                <w:b/>
                <w:szCs w:val="21"/>
              </w:rPr>
            </w:pPr>
            <w:r>
              <w:rPr>
                <w:rFonts w:hint="eastAsia" w:ascii="宋体" w:hAnsi="宋体" w:cs="宋体"/>
                <w:b/>
                <w:szCs w:val="21"/>
              </w:rPr>
              <w:t>分值</w:t>
            </w:r>
          </w:p>
        </w:tc>
        <w:tc>
          <w:tcPr>
            <w:tcW w:w="3180" w:type="dxa"/>
            <w:noWrap w:val="0"/>
            <w:vAlign w:val="center"/>
          </w:tcPr>
          <w:p>
            <w:pPr>
              <w:spacing w:line="240" w:lineRule="exact"/>
              <w:jc w:val="center"/>
              <w:textAlignment w:val="center"/>
              <w:rPr>
                <w:rFonts w:ascii="宋体" w:cs="宋体"/>
                <w:b/>
                <w:szCs w:val="21"/>
              </w:rPr>
            </w:pPr>
            <w:r>
              <w:rPr>
                <w:rFonts w:hint="eastAsia" w:ascii="宋体" w:hAnsi="宋体" w:cs="宋体"/>
                <w:b/>
                <w:szCs w:val="21"/>
              </w:rPr>
              <w:t>评分要点</w:t>
            </w:r>
          </w:p>
        </w:tc>
        <w:tc>
          <w:tcPr>
            <w:tcW w:w="1718"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695"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545"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165" w:type="dxa"/>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A2.</w:t>
            </w:r>
            <w:r>
              <w:rPr>
                <w:rFonts w:hint="eastAsia" w:ascii="仿宋_GB2312" w:hAnsi="宋体" w:eastAsia="仿宋_GB2312" w:cs="仿宋_GB2312"/>
                <w:kern w:val="0"/>
                <w:sz w:val="20"/>
                <w:szCs w:val="20"/>
              </w:rPr>
              <w:t>落实教育法律法规规章和政策情况（</w:t>
            </w:r>
            <w:r>
              <w:rPr>
                <w:rFonts w:ascii="仿宋_GB2312" w:hAnsi="宋体" w:eastAsia="仿宋_GB2312" w:cs="仿宋_GB2312"/>
                <w:kern w:val="0"/>
                <w:sz w:val="20"/>
                <w:szCs w:val="20"/>
              </w:rPr>
              <w:t>11</w:t>
            </w:r>
            <w:r>
              <w:rPr>
                <w:rFonts w:hint="eastAsia" w:ascii="仿宋_GB2312" w:hAnsi="宋体" w:eastAsia="仿宋_GB2312" w:cs="仿宋_GB2312"/>
                <w:kern w:val="0"/>
                <w:sz w:val="20"/>
                <w:szCs w:val="20"/>
              </w:rPr>
              <w:t>分）</w:t>
            </w:r>
          </w:p>
        </w:tc>
        <w:tc>
          <w:tcPr>
            <w:tcW w:w="1215" w:type="dxa"/>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B7.</w:t>
            </w:r>
            <w:r>
              <w:rPr>
                <w:rFonts w:hint="eastAsia" w:ascii="仿宋_GB2312" w:hAnsi="宋体" w:eastAsia="仿宋_GB2312" w:cs="仿宋_GB2312"/>
                <w:kern w:val="0"/>
                <w:sz w:val="20"/>
                <w:szCs w:val="20"/>
              </w:rPr>
              <w:t>落实国家教育法律、法规、规章</w:t>
            </w:r>
          </w:p>
        </w:tc>
        <w:tc>
          <w:tcPr>
            <w:tcW w:w="3435" w:type="dxa"/>
            <w:noWrap w:val="0"/>
            <w:vAlign w:val="center"/>
          </w:tcPr>
          <w:p>
            <w:pPr>
              <w:spacing w:line="240" w:lineRule="exact"/>
              <w:textAlignment w:val="center"/>
              <w:rPr>
                <w:rFonts w:hint="eastAsia" w:ascii="仿宋_GB2312" w:hAnsi="宋体" w:eastAsia="仿宋_GB2312" w:cs="仿宋_GB2312"/>
                <w:kern w:val="0"/>
                <w:sz w:val="20"/>
                <w:szCs w:val="20"/>
              </w:rPr>
            </w:pPr>
            <w:r>
              <w:rPr>
                <w:rFonts w:ascii="仿宋_GB2312" w:hAnsi="宋体" w:eastAsia="仿宋_GB2312" w:cs="仿宋_GB2312"/>
                <w:kern w:val="0"/>
                <w:sz w:val="20"/>
                <w:szCs w:val="20"/>
              </w:rPr>
              <w:t>C13.</w:t>
            </w:r>
            <w:r>
              <w:rPr>
                <w:rFonts w:hint="eastAsia" w:ascii="仿宋_GB2312" w:hAnsi="宋体" w:eastAsia="仿宋_GB2312" w:cs="仿宋_GB2312"/>
                <w:kern w:val="0"/>
                <w:sz w:val="20"/>
                <w:szCs w:val="20"/>
              </w:rPr>
              <w:t>全面深化教育体制机制改革，国家、自治区部署的教育改革任务得到有效落实，结合实际出台若干重大政策与制度，总结形成具有地方特色的经验和做法。建立落实自治区高考综合改革相关配套制度措施，并有效落实。</w:t>
            </w:r>
          </w:p>
        </w:tc>
        <w:tc>
          <w:tcPr>
            <w:tcW w:w="735" w:type="dxa"/>
            <w:noWrap w:val="0"/>
            <w:vAlign w:val="center"/>
          </w:tcPr>
          <w:p>
            <w:pPr>
              <w:spacing w:line="24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80" w:type="dxa"/>
            <w:noWrap w:val="0"/>
            <w:vAlign w:val="center"/>
          </w:tcPr>
          <w:p>
            <w:pPr>
              <w:spacing w:line="24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查阅资料、实地查看。国家、自治区有关教育改革任务落实不力的扣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718"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695" w:type="dxa"/>
            <w:noWrap w:val="0"/>
            <w:vAlign w:val="center"/>
          </w:tcPr>
          <w:p>
            <w:pPr>
              <w:spacing w:line="480" w:lineRule="auto"/>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p>
            <w:pPr>
              <w:spacing w:line="480" w:lineRule="auto"/>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考试中心</w:t>
            </w:r>
          </w:p>
        </w:tc>
        <w:tc>
          <w:tcPr>
            <w:tcW w:w="1545"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1165" w:type="dxa"/>
            <w:vMerge w:val="restart"/>
            <w:noWrap w:val="0"/>
            <w:vAlign w:val="center"/>
          </w:tcPr>
          <w:p>
            <w:pPr>
              <w:jc w:val="center"/>
              <w:rPr>
                <w:rFonts w:ascii="仿宋_GB2312" w:hAnsi="宋体" w:eastAsia="仿宋_GB2312" w:cs="仿宋_GB2312"/>
                <w:kern w:val="0"/>
                <w:sz w:val="20"/>
                <w:szCs w:val="20"/>
              </w:rPr>
            </w:pPr>
            <w:r>
              <w:rPr>
                <w:rFonts w:ascii="仿宋_GB2312" w:hAnsi="宋体" w:eastAsia="仿宋_GB2312" w:cs="仿宋_GB2312"/>
                <w:kern w:val="0"/>
                <w:sz w:val="20"/>
                <w:szCs w:val="20"/>
              </w:rPr>
              <w:t>A3.</w:t>
            </w:r>
            <w:r>
              <w:rPr>
                <w:rFonts w:hint="eastAsia" w:ascii="仿宋_GB2312" w:hAnsi="宋体" w:eastAsia="仿宋_GB2312" w:cs="仿宋_GB2312"/>
                <w:kern w:val="0"/>
                <w:sz w:val="20"/>
                <w:szCs w:val="20"/>
              </w:rPr>
              <w:t>各级各类教育发展情况（</w:t>
            </w:r>
            <w:r>
              <w:rPr>
                <w:rFonts w:ascii="仿宋_GB2312" w:hAnsi="宋体" w:eastAsia="仿宋_GB2312" w:cs="仿宋_GB2312"/>
                <w:kern w:val="0"/>
                <w:sz w:val="20"/>
                <w:szCs w:val="20"/>
              </w:rPr>
              <w:t>26</w:t>
            </w:r>
            <w:r>
              <w:rPr>
                <w:rFonts w:hint="eastAsia" w:ascii="仿宋_GB2312" w:hAnsi="宋体" w:eastAsia="仿宋_GB2312" w:cs="仿宋_GB2312"/>
                <w:kern w:val="0"/>
                <w:sz w:val="20"/>
                <w:szCs w:val="20"/>
              </w:rPr>
              <w:t>分）</w:t>
            </w:r>
          </w:p>
        </w:tc>
        <w:tc>
          <w:tcPr>
            <w:tcW w:w="1215" w:type="dxa"/>
            <w:vMerge w:val="restart"/>
            <w:noWrap w:val="0"/>
            <w:vAlign w:val="center"/>
          </w:tcPr>
          <w:p>
            <w:pPr>
              <w:jc w:val="center"/>
              <w:rPr>
                <w:rFonts w:ascii="仿宋_GB2312" w:hAnsi="宋体" w:eastAsia="仿宋_GB2312" w:cs="仿宋_GB2312"/>
                <w:kern w:val="0"/>
                <w:sz w:val="20"/>
                <w:szCs w:val="20"/>
              </w:rPr>
            </w:pPr>
            <w:r>
              <w:rPr>
                <w:rFonts w:ascii="仿宋_GB2312" w:hAnsi="宋体" w:eastAsia="仿宋_GB2312" w:cs="仿宋_GB2312"/>
                <w:kern w:val="0"/>
                <w:sz w:val="20"/>
                <w:szCs w:val="20"/>
              </w:rPr>
              <w:t>B8.</w:t>
            </w:r>
            <w:r>
              <w:rPr>
                <w:rFonts w:hint="eastAsia" w:ascii="仿宋_GB2312" w:hAnsi="宋体" w:eastAsia="仿宋_GB2312" w:cs="仿宋_GB2312"/>
                <w:kern w:val="0"/>
                <w:sz w:val="20"/>
                <w:szCs w:val="20"/>
              </w:rPr>
              <w:t>鼓励和支持普惠性学前教育发展</w:t>
            </w:r>
          </w:p>
        </w:tc>
        <w:tc>
          <w:tcPr>
            <w:tcW w:w="3435" w:type="dxa"/>
            <w:noWrap w:val="0"/>
            <w:vAlign w:val="center"/>
          </w:tcPr>
          <w:p>
            <w:pPr>
              <w:spacing w:line="30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C14.</w:t>
            </w:r>
            <w:r>
              <w:rPr>
                <w:rFonts w:hint="eastAsia" w:ascii="仿宋_GB2312" w:hAnsi="宋体" w:eastAsia="仿宋_GB2312" w:cs="仿宋_GB2312"/>
                <w:kern w:val="0"/>
                <w:sz w:val="20"/>
                <w:szCs w:val="20"/>
              </w:rPr>
              <w:t>加快推进发展学前教育，落实城镇居住区配套建设幼儿园机制，城镇居住区配套建设幼儿园专项治理成效明显；每个乡镇至少建</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所公办幼儿园；采取大村独办、小村联办幼儿班，实现农村学前教育资源全覆盖。</w:t>
            </w:r>
          </w:p>
        </w:tc>
        <w:tc>
          <w:tcPr>
            <w:tcW w:w="735" w:type="dxa"/>
            <w:noWrap w:val="0"/>
            <w:vAlign w:val="center"/>
          </w:tcPr>
          <w:p>
            <w:pPr>
              <w:spacing w:line="30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1</w:t>
            </w:r>
          </w:p>
        </w:tc>
        <w:tc>
          <w:tcPr>
            <w:tcW w:w="3180" w:type="dxa"/>
            <w:noWrap w:val="0"/>
            <w:vAlign w:val="center"/>
          </w:tcPr>
          <w:p>
            <w:pPr>
              <w:spacing w:line="30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查阅城市建设部门有关政策规定文件、实地核查。未落实城镇居住区配套建设幼儿园政策的扣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分，治理效果不明显的扣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分，有</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个乡镇没有公办幼儿园的扣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分，扣完为止。</w:t>
            </w:r>
          </w:p>
        </w:tc>
        <w:tc>
          <w:tcPr>
            <w:tcW w:w="1718"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县教育工作领导小组、住建局、自然资源局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tc>
        <w:tc>
          <w:tcPr>
            <w:tcW w:w="1545" w:type="dxa"/>
            <w:noWrap w:val="0"/>
            <w:vAlign w:val="top"/>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1165" w:type="dxa"/>
            <w:vMerge w:val="continue"/>
            <w:noWrap w:val="0"/>
            <w:vAlign w:val="center"/>
          </w:tcPr>
          <w:p>
            <w:pPr>
              <w:jc w:val="center"/>
              <w:rPr>
                <w:rFonts w:ascii="仿宋_GB2312" w:hAnsi="宋体" w:eastAsia="仿宋_GB2312" w:cs="仿宋_GB2312"/>
                <w:kern w:val="0"/>
                <w:sz w:val="20"/>
                <w:szCs w:val="20"/>
              </w:rPr>
            </w:pPr>
          </w:p>
        </w:tc>
        <w:tc>
          <w:tcPr>
            <w:tcW w:w="1215" w:type="dxa"/>
            <w:vMerge w:val="continue"/>
            <w:noWrap w:val="0"/>
            <w:vAlign w:val="center"/>
          </w:tcPr>
          <w:p>
            <w:pPr>
              <w:jc w:val="center"/>
              <w:rPr>
                <w:rFonts w:ascii="仿宋_GB2312" w:hAnsi="宋体" w:eastAsia="仿宋_GB2312" w:cs="仿宋_GB2312"/>
                <w:kern w:val="0"/>
                <w:sz w:val="20"/>
                <w:szCs w:val="20"/>
              </w:rPr>
            </w:pPr>
          </w:p>
        </w:tc>
        <w:tc>
          <w:tcPr>
            <w:tcW w:w="3435" w:type="dxa"/>
            <w:noWrap w:val="0"/>
            <w:vAlign w:val="center"/>
          </w:tcPr>
          <w:p>
            <w:pPr>
              <w:spacing w:line="30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C15.</w:t>
            </w:r>
            <w:r>
              <w:rPr>
                <w:rFonts w:hint="eastAsia" w:ascii="仿宋_GB2312" w:hAnsi="宋体" w:eastAsia="仿宋_GB2312" w:cs="仿宋_GB2312"/>
                <w:kern w:val="0"/>
                <w:sz w:val="20"/>
                <w:szCs w:val="20"/>
              </w:rPr>
              <w:t>制定本县（市、区）的学前教育三期行动计划并有效落实。落实“公办园占</w:t>
            </w:r>
            <w:r>
              <w:rPr>
                <w:rFonts w:ascii="仿宋_GB2312" w:hAnsi="宋体" w:eastAsia="仿宋_GB2312" w:cs="仿宋_GB2312"/>
                <w:kern w:val="0"/>
                <w:sz w:val="20"/>
                <w:szCs w:val="20"/>
              </w:rPr>
              <w:t>50%</w:t>
            </w:r>
            <w:r>
              <w:rPr>
                <w:rFonts w:hint="eastAsia" w:ascii="仿宋_GB2312" w:hAnsi="宋体" w:eastAsia="仿宋_GB2312" w:cs="仿宋_GB2312"/>
                <w:kern w:val="0"/>
                <w:sz w:val="20"/>
                <w:szCs w:val="20"/>
              </w:rPr>
              <w:t>、普惠性幼儿园占</w:t>
            </w:r>
            <w:r>
              <w:rPr>
                <w:rFonts w:ascii="仿宋_GB2312" w:hAnsi="宋体" w:eastAsia="仿宋_GB2312" w:cs="仿宋_GB2312"/>
                <w:kern w:val="0"/>
                <w:sz w:val="20"/>
                <w:szCs w:val="20"/>
              </w:rPr>
              <w:t>30%</w:t>
            </w:r>
            <w:r>
              <w:rPr>
                <w:rFonts w:hint="eastAsia" w:ascii="仿宋_GB2312" w:hAnsi="宋体" w:eastAsia="仿宋_GB2312" w:cs="仿宋_GB2312"/>
                <w:kern w:val="0"/>
                <w:sz w:val="20"/>
                <w:szCs w:val="20"/>
              </w:rPr>
              <w:t>、其他幼儿园占</w:t>
            </w:r>
            <w:r>
              <w:rPr>
                <w:rFonts w:ascii="仿宋_GB2312" w:hAnsi="宋体" w:eastAsia="仿宋_GB2312" w:cs="仿宋_GB2312"/>
                <w:kern w:val="0"/>
                <w:sz w:val="20"/>
                <w:szCs w:val="20"/>
              </w:rPr>
              <w:t>20%</w:t>
            </w:r>
            <w:r>
              <w:rPr>
                <w:rFonts w:hint="eastAsia" w:ascii="仿宋_GB2312" w:hAnsi="宋体" w:eastAsia="仿宋_GB2312" w:cs="仿宋_GB2312"/>
                <w:kern w:val="0"/>
                <w:sz w:val="20"/>
                <w:szCs w:val="20"/>
              </w:rPr>
              <w:t>”的国家要求情况。幼儿园办园行为督导评估工作成效明显。</w:t>
            </w:r>
          </w:p>
        </w:tc>
        <w:tc>
          <w:tcPr>
            <w:tcW w:w="735" w:type="dxa"/>
            <w:noWrap w:val="0"/>
            <w:vAlign w:val="center"/>
          </w:tcPr>
          <w:p>
            <w:pPr>
              <w:spacing w:line="30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1.5</w:t>
            </w:r>
          </w:p>
        </w:tc>
        <w:tc>
          <w:tcPr>
            <w:tcW w:w="3180" w:type="dxa"/>
            <w:noWrap w:val="0"/>
            <w:vAlign w:val="center"/>
          </w:tcPr>
          <w:p>
            <w:pPr>
              <w:spacing w:line="30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查阅资料、实地核查的方式进行。未制定三期行动计划或落实不到位的扣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分；公办园和普惠性幼儿园占比每少</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个百分点扣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分；幼儿园办园行为督导评估工作整改不完全的扣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w:t>
            </w:r>
          </w:p>
        </w:tc>
        <w:tc>
          <w:tcPr>
            <w:tcW w:w="1718"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p>
            <w:pPr>
              <w:jc w:val="center"/>
              <w:rPr>
                <w:rFonts w:hint="eastAsia" w:ascii="仿宋_GB2312" w:hAnsi="仿宋_GB2312" w:eastAsia="仿宋_GB2312" w:cs="仿宋_GB2312"/>
                <w:b/>
                <w:bCs/>
                <w:kern w:val="0"/>
                <w:sz w:val="24"/>
              </w:rPr>
            </w:pP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教育督导室</w:t>
            </w:r>
          </w:p>
        </w:tc>
        <w:tc>
          <w:tcPr>
            <w:tcW w:w="1545" w:type="dxa"/>
            <w:noWrap w:val="0"/>
            <w:vAlign w:val="top"/>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165" w:type="dxa"/>
            <w:vMerge w:val="continue"/>
            <w:noWrap w:val="0"/>
            <w:vAlign w:val="center"/>
          </w:tcPr>
          <w:p>
            <w:pPr>
              <w:jc w:val="center"/>
              <w:rPr>
                <w:rFonts w:ascii="仿宋_GB2312" w:hAnsi="宋体" w:eastAsia="仿宋_GB2312" w:cs="仿宋_GB2312"/>
                <w:kern w:val="0"/>
                <w:sz w:val="20"/>
                <w:szCs w:val="20"/>
              </w:rPr>
            </w:pPr>
          </w:p>
        </w:tc>
        <w:tc>
          <w:tcPr>
            <w:tcW w:w="1215" w:type="dxa"/>
            <w:vMerge w:val="continue"/>
            <w:noWrap w:val="0"/>
            <w:vAlign w:val="center"/>
          </w:tcPr>
          <w:p>
            <w:pPr>
              <w:jc w:val="center"/>
            </w:pPr>
          </w:p>
        </w:tc>
        <w:tc>
          <w:tcPr>
            <w:tcW w:w="3435" w:type="dxa"/>
            <w:noWrap w:val="0"/>
            <w:vAlign w:val="center"/>
          </w:tcPr>
          <w:p>
            <w:pPr>
              <w:spacing w:line="30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C16.</w:t>
            </w:r>
            <w:r>
              <w:rPr>
                <w:rFonts w:hint="eastAsia" w:ascii="仿宋_GB2312" w:hAnsi="宋体" w:eastAsia="仿宋_GB2312" w:cs="仿宋_GB2312"/>
                <w:kern w:val="0"/>
                <w:sz w:val="20"/>
                <w:szCs w:val="20"/>
              </w:rPr>
              <w:t>采取多种方式，积极落实公办幼儿园教师编制标准，制定并落实公办幼儿园生均公用经费财政拨款标准。落实幼儿教师工资待遇和社会保障。幼儿教师持证上岗。</w:t>
            </w:r>
          </w:p>
        </w:tc>
        <w:tc>
          <w:tcPr>
            <w:tcW w:w="735" w:type="dxa"/>
            <w:noWrap w:val="0"/>
            <w:vAlign w:val="center"/>
          </w:tcPr>
          <w:p>
            <w:pPr>
              <w:spacing w:line="30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1.5</w:t>
            </w:r>
          </w:p>
        </w:tc>
        <w:tc>
          <w:tcPr>
            <w:tcW w:w="3180" w:type="dxa"/>
            <w:noWrap w:val="0"/>
            <w:vAlign w:val="center"/>
          </w:tcPr>
          <w:p>
            <w:pPr>
              <w:spacing w:line="30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查阅资料、实地核查、走访座谈的方式进行。一项没完成扣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分，扣完为止。</w:t>
            </w:r>
          </w:p>
        </w:tc>
        <w:tc>
          <w:tcPr>
            <w:tcW w:w="1718"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县人社局、财政局、教体局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人事劳资科</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计财审计室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tc>
        <w:tc>
          <w:tcPr>
            <w:tcW w:w="1545" w:type="dxa"/>
            <w:noWrap w:val="0"/>
            <w:vAlign w:val="top"/>
          </w:tcPr>
          <w:p>
            <w:pPr>
              <w:jc w:val="center"/>
              <w:rPr>
                <w:rFonts w:hint="eastAsia" w:ascii="仿宋_GB2312" w:hAnsi="仿宋_GB2312" w:eastAsia="仿宋_GB2312" w:cs="仿宋_GB2312"/>
                <w:b/>
                <w:bCs/>
                <w:kern w:val="0"/>
                <w:sz w:val="24"/>
              </w:rPr>
            </w:pPr>
          </w:p>
        </w:tc>
      </w:tr>
    </w:tbl>
    <w:tbl>
      <w:tblPr>
        <w:tblStyle w:val="3"/>
        <w:tblpPr w:leftFromText="180" w:rightFromText="180" w:vertAnchor="text" w:horzAnchor="page" w:tblpX="1141" w:tblpY="-140"/>
        <w:tblOverlap w:val="never"/>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200"/>
        <w:gridCol w:w="3498"/>
        <w:gridCol w:w="675"/>
        <w:gridCol w:w="3190"/>
        <w:gridCol w:w="2000"/>
        <w:gridCol w:w="169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170" w:type="dxa"/>
            <w:noWrap w:val="0"/>
            <w:vAlign w:val="center"/>
          </w:tcPr>
          <w:p>
            <w:pPr>
              <w:jc w:val="center"/>
              <w:textAlignment w:val="center"/>
              <w:rPr>
                <w:rFonts w:ascii="宋体" w:cs="宋体"/>
                <w:b/>
                <w:szCs w:val="21"/>
              </w:rPr>
            </w:pPr>
            <w:r>
              <w:rPr>
                <w:rFonts w:hint="eastAsia" w:ascii="宋体" w:hAnsi="宋体" w:cs="宋体"/>
                <w:b/>
                <w:kern w:val="0"/>
                <w:szCs w:val="21"/>
              </w:rPr>
              <w:t>一级指标</w:t>
            </w:r>
          </w:p>
        </w:tc>
        <w:tc>
          <w:tcPr>
            <w:tcW w:w="1200" w:type="dxa"/>
            <w:noWrap w:val="0"/>
            <w:vAlign w:val="center"/>
          </w:tcPr>
          <w:p>
            <w:pPr>
              <w:jc w:val="center"/>
              <w:textAlignment w:val="center"/>
              <w:rPr>
                <w:rFonts w:ascii="宋体" w:cs="宋体"/>
                <w:b/>
                <w:szCs w:val="21"/>
              </w:rPr>
            </w:pPr>
            <w:r>
              <w:rPr>
                <w:rFonts w:hint="eastAsia" w:ascii="宋体" w:hAnsi="宋体" w:cs="宋体"/>
                <w:b/>
                <w:kern w:val="0"/>
                <w:szCs w:val="21"/>
              </w:rPr>
              <w:t>二级指标</w:t>
            </w:r>
          </w:p>
        </w:tc>
        <w:tc>
          <w:tcPr>
            <w:tcW w:w="3498" w:type="dxa"/>
            <w:noWrap w:val="0"/>
            <w:vAlign w:val="center"/>
          </w:tcPr>
          <w:p>
            <w:pPr>
              <w:jc w:val="center"/>
              <w:textAlignment w:val="center"/>
              <w:rPr>
                <w:rFonts w:ascii="宋体" w:cs="宋体"/>
                <w:b/>
                <w:szCs w:val="21"/>
              </w:rPr>
            </w:pPr>
            <w:r>
              <w:rPr>
                <w:rFonts w:hint="eastAsia" w:ascii="宋体" w:hAnsi="宋体" w:cs="宋体"/>
                <w:b/>
                <w:kern w:val="0"/>
                <w:szCs w:val="21"/>
              </w:rPr>
              <w:t>三级指标</w:t>
            </w:r>
          </w:p>
        </w:tc>
        <w:tc>
          <w:tcPr>
            <w:tcW w:w="675" w:type="dxa"/>
            <w:noWrap w:val="0"/>
            <w:vAlign w:val="center"/>
          </w:tcPr>
          <w:p>
            <w:pPr>
              <w:jc w:val="center"/>
              <w:textAlignment w:val="center"/>
              <w:rPr>
                <w:rFonts w:ascii="宋体" w:cs="宋体"/>
                <w:b/>
                <w:szCs w:val="21"/>
              </w:rPr>
            </w:pPr>
            <w:r>
              <w:rPr>
                <w:rFonts w:hint="eastAsia" w:ascii="宋体" w:hAnsi="宋体" w:cs="宋体"/>
                <w:b/>
                <w:szCs w:val="21"/>
              </w:rPr>
              <w:t>分值</w:t>
            </w:r>
          </w:p>
        </w:tc>
        <w:tc>
          <w:tcPr>
            <w:tcW w:w="3190" w:type="dxa"/>
            <w:noWrap w:val="0"/>
            <w:vAlign w:val="center"/>
          </w:tcPr>
          <w:p>
            <w:pPr>
              <w:jc w:val="center"/>
              <w:textAlignment w:val="center"/>
              <w:rPr>
                <w:rFonts w:ascii="宋体" w:cs="宋体"/>
                <w:b/>
                <w:szCs w:val="21"/>
              </w:rPr>
            </w:pPr>
            <w:r>
              <w:rPr>
                <w:rFonts w:hint="eastAsia" w:ascii="宋体" w:hAnsi="宋体" w:cs="宋体"/>
                <w:b/>
                <w:szCs w:val="21"/>
              </w:rPr>
              <w:t>评分要点</w:t>
            </w:r>
          </w:p>
        </w:tc>
        <w:tc>
          <w:tcPr>
            <w:tcW w:w="2000"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695"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260"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70" w:type="dxa"/>
            <w:vMerge w:val="restart"/>
            <w:noWrap w:val="0"/>
            <w:vAlign w:val="center"/>
          </w:tcPr>
          <w:p>
            <w:pPr>
              <w:jc w:val="center"/>
              <w:rPr>
                <w:rFonts w:ascii="宋体" w:cs="宋体"/>
                <w:b/>
                <w:kern w:val="0"/>
                <w:szCs w:val="21"/>
              </w:rPr>
            </w:pPr>
            <w:r>
              <w:rPr>
                <w:rFonts w:ascii="仿宋_GB2312" w:hAnsi="宋体" w:eastAsia="仿宋_GB2312" w:cs="仿宋_GB2312"/>
                <w:kern w:val="0"/>
                <w:sz w:val="20"/>
                <w:szCs w:val="20"/>
              </w:rPr>
              <w:t>A3.</w:t>
            </w:r>
            <w:r>
              <w:rPr>
                <w:rFonts w:hint="eastAsia" w:ascii="仿宋_GB2312" w:hAnsi="宋体" w:eastAsia="仿宋_GB2312" w:cs="仿宋_GB2312"/>
                <w:kern w:val="0"/>
                <w:sz w:val="20"/>
                <w:szCs w:val="20"/>
              </w:rPr>
              <w:t>各级各类教育发展情况（</w:t>
            </w:r>
            <w:r>
              <w:rPr>
                <w:rFonts w:ascii="仿宋_GB2312" w:hAnsi="宋体" w:eastAsia="仿宋_GB2312" w:cs="仿宋_GB2312"/>
                <w:kern w:val="0"/>
                <w:sz w:val="20"/>
                <w:szCs w:val="20"/>
              </w:rPr>
              <w:t>26</w:t>
            </w:r>
            <w:r>
              <w:rPr>
                <w:rFonts w:hint="eastAsia" w:ascii="仿宋_GB2312" w:hAnsi="宋体" w:eastAsia="仿宋_GB2312" w:cs="仿宋_GB2312"/>
                <w:kern w:val="0"/>
                <w:sz w:val="20"/>
                <w:szCs w:val="20"/>
              </w:rPr>
              <w:t>分）</w:t>
            </w:r>
          </w:p>
        </w:tc>
        <w:tc>
          <w:tcPr>
            <w:tcW w:w="1200" w:type="dxa"/>
            <w:vMerge w:val="restart"/>
            <w:noWrap w:val="0"/>
            <w:vAlign w:val="center"/>
          </w:tcPr>
          <w:p>
            <w:pPr>
              <w:jc w:val="center"/>
              <w:rPr>
                <w:rFonts w:ascii="仿宋_GB2312" w:hAnsi="宋体" w:eastAsia="仿宋_GB2312" w:cs="仿宋_GB2312"/>
                <w:kern w:val="0"/>
                <w:sz w:val="20"/>
                <w:szCs w:val="20"/>
              </w:rPr>
            </w:pPr>
            <w:r>
              <w:rPr>
                <w:rFonts w:ascii="仿宋_GB2312" w:hAnsi="宋体" w:eastAsia="仿宋_GB2312" w:cs="仿宋_GB2312"/>
                <w:kern w:val="0"/>
                <w:sz w:val="20"/>
                <w:szCs w:val="20"/>
              </w:rPr>
              <w:t>B9.</w:t>
            </w:r>
            <w:r>
              <w:rPr>
                <w:rFonts w:hint="eastAsia" w:ascii="仿宋_GB2312" w:hAnsi="宋体" w:eastAsia="仿宋_GB2312" w:cs="仿宋_GB2312"/>
                <w:kern w:val="0"/>
                <w:sz w:val="20"/>
                <w:szCs w:val="20"/>
              </w:rPr>
              <w:t>促进义务教育均衡发展</w:t>
            </w:r>
          </w:p>
        </w:tc>
        <w:tc>
          <w:tcPr>
            <w:tcW w:w="3498" w:type="dxa"/>
            <w:noWrap w:val="0"/>
            <w:vAlign w:val="center"/>
          </w:tcPr>
          <w:p>
            <w:pPr>
              <w:spacing w:line="28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C17.</w:t>
            </w:r>
            <w:r>
              <w:rPr>
                <w:rFonts w:hint="eastAsia" w:ascii="仿宋_GB2312" w:hAnsi="宋体" w:eastAsia="仿宋_GB2312" w:cs="仿宋_GB2312"/>
                <w:kern w:val="0"/>
                <w:sz w:val="20"/>
                <w:szCs w:val="20"/>
              </w:rPr>
              <w:t>建立并落实公办义务教育学校免试就近入学、划片对口招生、优质高中招生“指标到校”、引进人才子女教育等招生政策；义务教育阶段不设重点学校和重点班，班额符合自治区规定标准。妥善解决进城务工人员、引进人才随迁子女接受义务教育问题，确保与当地学生同等待遇，建立健全农村留守儿童关爱体系。</w:t>
            </w:r>
          </w:p>
        </w:tc>
        <w:tc>
          <w:tcPr>
            <w:tcW w:w="675" w:type="dxa"/>
            <w:noWrap w:val="0"/>
            <w:vAlign w:val="center"/>
          </w:tcPr>
          <w:p>
            <w:pPr>
              <w:spacing w:line="300" w:lineRule="exact"/>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90" w:type="dxa"/>
            <w:noWrap w:val="0"/>
            <w:vAlign w:val="center"/>
          </w:tcPr>
          <w:p>
            <w:pPr>
              <w:spacing w:line="30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实地检查学校，个别访谈，义务教育择校问题、划片招生、优质高中指标到校达不到</w:t>
            </w:r>
            <w:r>
              <w:rPr>
                <w:rFonts w:ascii="仿宋_GB2312" w:hAnsi="宋体" w:eastAsia="仿宋_GB2312" w:cs="仿宋_GB2312"/>
                <w:kern w:val="0"/>
                <w:sz w:val="20"/>
                <w:szCs w:val="20"/>
              </w:rPr>
              <w:t>60%</w:t>
            </w:r>
            <w:r>
              <w:rPr>
                <w:rFonts w:hint="eastAsia" w:ascii="仿宋_GB2312" w:hAnsi="宋体" w:eastAsia="仿宋_GB2312" w:cs="仿宋_GB2312"/>
                <w:kern w:val="0"/>
                <w:sz w:val="20"/>
                <w:szCs w:val="20"/>
              </w:rPr>
              <w:t>、重点班、幼儿园活动、班额、开足开齐课程、学籍管理、违规收费、进城务工、引进人才、随迁子女</w:t>
            </w:r>
            <w:r>
              <w:rPr>
                <w:rFonts w:ascii="仿宋_GB2312" w:hAnsi="宋体" w:eastAsia="仿宋_GB2312" w:cs="仿宋_GB2312"/>
                <w:kern w:val="0"/>
                <w:sz w:val="20"/>
                <w:szCs w:val="20"/>
              </w:rPr>
              <w:t>100%</w:t>
            </w:r>
            <w:r>
              <w:rPr>
                <w:rFonts w:hint="eastAsia" w:ascii="仿宋_GB2312" w:hAnsi="宋体" w:eastAsia="仿宋_GB2312" w:cs="仿宋_GB2312"/>
                <w:kern w:val="0"/>
                <w:sz w:val="20"/>
                <w:szCs w:val="20"/>
              </w:rPr>
              <w:t>安排公办学校就读等方面，每发现</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所学校有</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项违规扣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分，扣完为止。</w:t>
            </w:r>
          </w:p>
        </w:tc>
        <w:tc>
          <w:tcPr>
            <w:tcW w:w="20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考试中心</w:t>
            </w:r>
          </w:p>
        </w:tc>
        <w:tc>
          <w:tcPr>
            <w:tcW w:w="126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170" w:type="dxa"/>
            <w:vMerge w:val="continue"/>
            <w:noWrap w:val="0"/>
            <w:vAlign w:val="center"/>
          </w:tcPr>
          <w:p>
            <w:pPr>
              <w:jc w:val="center"/>
            </w:pPr>
          </w:p>
        </w:tc>
        <w:tc>
          <w:tcPr>
            <w:tcW w:w="1200" w:type="dxa"/>
            <w:vMerge w:val="continue"/>
            <w:noWrap w:val="0"/>
            <w:vAlign w:val="center"/>
          </w:tcPr>
          <w:p>
            <w:pPr>
              <w:jc w:val="center"/>
            </w:pPr>
          </w:p>
        </w:tc>
        <w:tc>
          <w:tcPr>
            <w:tcW w:w="3498" w:type="dxa"/>
            <w:noWrap w:val="0"/>
            <w:vAlign w:val="center"/>
          </w:tcPr>
          <w:p>
            <w:pPr>
              <w:spacing w:line="28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C18.</w:t>
            </w:r>
            <w:r>
              <w:rPr>
                <w:rFonts w:hint="eastAsia" w:ascii="仿宋_GB2312" w:hAnsi="宋体" w:eastAsia="仿宋_GB2312" w:cs="仿宋_GB2312"/>
                <w:kern w:val="0"/>
                <w:sz w:val="20"/>
                <w:szCs w:val="20"/>
              </w:rPr>
              <w:t>义务教育学校建设标准达到自治区标准化学校建设标准，生均公用经费基准定额城乡统一，基本装备配置标准城乡统一。县（市、区）实现县域义务教育发展基本均衡县国家认定后监测复查各项指标不下滑；积极推进义务教育优质均衡发展方面有规划、有部署、有效果。</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90" w:type="dxa"/>
            <w:noWrap w:val="0"/>
            <w:vAlign w:val="center"/>
          </w:tcPr>
          <w:p>
            <w:pPr>
              <w:spacing w:line="280" w:lineRule="exact"/>
              <w:textAlignment w:val="center"/>
              <w:rPr>
                <w:rFonts w:ascii="仿宋_GB2312" w:hAnsi="仿宋_GB2312" w:eastAsia="仿宋_GB2312" w:cs="仿宋_GB2312"/>
                <w:kern w:val="0"/>
                <w:sz w:val="20"/>
                <w:szCs w:val="20"/>
              </w:rPr>
            </w:pPr>
            <w:r>
              <w:rPr>
                <w:rFonts w:hint="eastAsia" w:ascii="仿宋_GB2312" w:hAnsi="宋体" w:eastAsia="仿宋_GB2312" w:cs="仿宋_GB2312"/>
                <w:kern w:val="0"/>
                <w:sz w:val="20"/>
                <w:szCs w:val="20"/>
              </w:rPr>
              <w:t>查阅编制、发改、财政、建设等部门关于促进义务教育发展相关资料、实地核查、走访座谈。没有达到“四统一”的扣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分；指标下滑的扣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分；没有制定推进优质均衡发展规划或没有实际推进此项工作的扣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20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县教育工作领导小组、财政局、发改委、教体局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装 备 科</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计财审计室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教育管理室联系相关部门、相关科室</w:t>
            </w:r>
          </w:p>
        </w:tc>
        <w:tc>
          <w:tcPr>
            <w:tcW w:w="1260" w:type="dxa"/>
            <w:noWrap w:val="0"/>
            <w:vAlign w:val="top"/>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70" w:type="dxa"/>
            <w:vMerge w:val="continue"/>
            <w:noWrap w:val="0"/>
            <w:vAlign w:val="top"/>
          </w:tcPr>
          <w:p/>
        </w:tc>
        <w:tc>
          <w:tcPr>
            <w:tcW w:w="1200" w:type="dxa"/>
            <w:vMerge w:val="continue"/>
            <w:noWrap w:val="0"/>
            <w:vAlign w:val="center"/>
          </w:tcPr>
          <w:p>
            <w:pPr>
              <w:jc w:val="center"/>
            </w:pPr>
          </w:p>
        </w:tc>
        <w:tc>
          <w:tcPr>
            <w:tcW w:w="3498" w:type="dxa"/>
            <w:noWrap w:val="0"/>
            <w:vAlign w:val="center"/>
          </w:tcPr>
          <w:p>
            <w:pPr>
              <w:spacing w:line="280" w:lineRule="exact"/>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C19.</w:t>
            </w:r>
            <w:r>
              <w:rPr>
                <w:rFonts w:hint="eastAsia" w:ascii="仿宋_GB2312" w:hAnsi="宋体" w:eastAsia="仿宋_GB2312" w:cs="仿宋_GB2312"/>
                <w:kern w:val="0"/>
                <w:sz w:val="20"/>
                <w:szCs w:val="20"/>
              </w:rPr>
              <w:t>建立并切实落实控辍保学工作机制，达到小学无辍学、初中辍学率控制在</w:t>
            </w:r>
            <w:r>
              <w:rPr>
                <w:rFonts w:ascii="仿宋_GB2312" w:hAnsi="宋体" w:eastAsia="仿宋_GB2312" w:cs="仿宋_GB2312"/>
                <w:kern w:val="0"/>
                <w:sz w:val="20"/>
                <w:szCs w:val="20"/>
              </w:rPr>
              <w:t>2%</w:t>
            </w:r>
            <w:r>
              <w:rPr>
                <w:rFonts w:hint="eastAsia" w:ascii="仿宋_GB2312" w:hAnsi="宋体" w:eastAsia="仿宋_GB2312" w:cs="仿宋_GB2312"/>
                <w:kern w:val="0"/>
                <w:sz w:val="20"/>
                <w:szCs w:val="20"/>
              </w:rPr>
              <w:t>以内，小学六年巩固率、初中三年巩固率达到自治区平均水平（</w:t>
            </w:r>
            <w:r>
              <w:rPr>
                <w:rFonts w:ascii="仿宋_GB2312" w:hAnsi="宋体" w:eastAsia="仿宋_GB2312" w:cs="仿宋_GB2312"/>
                <w:kern w:val="0"/>
                <w:sz w:val="20"/>
                <w:szCs w:val="20"/>
              </w:rPr>
              <w:t>2018</w:t>
            </w:r>
            <w:r>
              <w:rPr>
                <w:rFonts w:hint="eastAsia" w:ascii="仿宋_GB2312" w:hAnsi="宋体" w:eastAsia="仿宋_GB2312" w:cs="仿宋_GB2312"/>
                <w:kern w:val="0"/>
                <w:sz w:val="20"/>
                <w:szCs w:val="20"/>
              </w:rPr>
              <w:t>年</w:t>
            </w:r>
            <w:r>
              <w:rPr>
                <w:rFonts w:ascii="仿宋_GB2312" w:hAnsi="宋体" w:eastAsia="仿宋_GB2312" w:cs="仿宋_GB2312"/>
                <w:kern w:val="0"/>
                <w:sz w:val="20"/>
                <w:szCs w:val="20"/>
              </w:rPr>
              <w:t>12</w:t>
            </w:r>
            <w:r>
              <w:rPr>
                <w:rFonts w:hint="eastAsia" w:ascii="仿宋_GB2312" w:hAnsi="宋体" w:eastAsia="仿宋_GB2312" w:cs="仿宋_GB2312"/>
                <w:kern w:val="0"/>
                <w:sz w:val="20"/>
                <w:szCs w:val="20"/>
              </w:rPr>
              <w:t>月教育统计数据为准）。落实宁夏回族自治区义务教育学校消除大班额专项规划确定的任务目标情况。</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90" w:type="dxa"/>
            <w:noWrap w:val="0"/>
            <w:vAlign w:val="center"/>
          </w:tcPr>
          <w:p>
            <w:pPr>
              <w:spacing w:line="260" w:lineRule="exact"/>
            </w:pPr>
            <w:r>
              <w:rPr>
                <w:rFonts w:hint="eastAsia" w:ascii="仿宋_GB2312" w:hAnsi="宋体" w:eastAsia="仿宋_GB2312" w:cs="仿宋_GB2312"/>
                <w:kern w:val="0"/>
                <w:sz w:val="20"/>
                <w:szCs w:val="20"/>
              </w:rPr>
              <w:t>实地核查、走访座谈。没有</w:t>
            </w:r>
            <w:r>
              <w:rPr>
                <w:rFonts w:hint="eastAsia" w:ascii="仿宋_GB2312" w:hAnsi="仿宋_GB2312" w:eastAsia="仿宋_GB2312" w:cs="仿宋_GB2312"/>
                <w:sz w:val="20"/>
                <w:szCs w:val="20"/>
              </w:rPr>
              <w:t>建立控辍</w:t>
            </w:r>
            <w:r>
              <w:rPr>
                <w:rFonts w:hint="eastAsia" w:ascii="仿宋_GB2312" w:hAnsi="仿宋_GB2312" w:eastAsia="仿宋_GB2312" w:cs="仿宋_GB2312"/>
                <w:kern w:val="0"/>
                <w:sz w:val="20"/>
                <w:szCs w:val="20"/>
              </w:rPr>
              <w:t>保学工作机制扣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分，执行不力的扣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分；消除大班额没按计划完成的扣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分；小学有辍学扣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分；初中辍学率超过</w:t>
            </w:r>
            <w:r>
              <w:rPr>
                <w:rFonts w:ascii="仿宋_GB2312" w:hAnsi="仿宋_GB2312" w:eastAsia="仿宋_GB2312" w:cs="仿宋_GB2312"/>
                <w:kern w:val="0"/>
                <w:sz w:val="20"/>
                <w:szCs w:val="20"/>
              </w:rPr>
              <w:t>2%</w:t>
            </w:r>
            <w:r>
              <w:rPr>
                <w:rFonts w:hint="eastAsia" w:ascii="仿宋_GB2312" w:hAnsi="仿宋_GB2312" w:eastAsia="仿宋_GB2312" w:cs="仿宋_GB2312"/>
                <w:kern w:val="0"/>
                <w:sz w:val="20"/>
                <w:szCs w:val="20"/>
              </w:rPr>
              <w:t>的每超</w:t>
            </w:r>
            <w:r>
              <w:rPr>
                <w:rFonts w:ascii="仿宋_GB2312" w:hAnsi="仿宋_GB2312" w:eastAsia="仿宋_GB2312" w:cs="仿宋_GB2312"/>
                <w:kern w:val="0"/>
                <w:sz w:val="20"/>
                <w:szCs w:val="20"/>
              </w:rPr>
              <w:t>0.5</w:t>
            </w:r>
            <w:r>
              <w:rPr>
                <w:rFonts w:hint="eastAsia" w:ascii="仿宋_GB2312" w:hAnsi="仿宋_GB2312" w:eastAsia="仿宋_GB2312" w:cs="仿宋_GB2312"/>
                <w:kern w:val="0"/>
                <w:sz w:val="20"/>
                <w:szCs w:val="20"/>
              </w:rPr>
              <w:t>个百分点扣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w:t>
            </w:r>
            <w:r>
              <w:rPr>
                <w:rFonts w:hint="eastAsia" w:ascii="仿宋_GB2312" w:hAnsi="仿宋_GB2312" w:eastAsia="仿宋_GB2312" w:cs="仿宋_GB2312"/>
                <w:sz w:val="20"/>
                <w:szCs w:val="20"/>
              </w:rPr>
              <w:t>。</w:t>
            </w:r>
          </w:p>
        </w:tc>
        <w:tc>
          <w:tcPr>
            <w:tcW w:w="20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tc>
        <w:tc>
          <w:tcPr>
            <w:tcW w:w="1260" w:type="dxa"/>
            <w:noWrap w:val="0"/>
            <w:vAlign w:val="top"/>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170" w:type="dxa"/>
            <w:noWrap w:val="0"/>
            <w:vAlign w:val="center"/>
          </w:tcPr>
          <w:p>
            <w:pPr>
              <w:jc w:val="center"/>
              <w:textAlignment w:val="center"/>
              <w:rPr>
                <w:rFonts w:ascii="宋体" w:cs="宋体"/>
                <w:b/>
                <w:szCs w:val="21"/>
              </w:rPr>
            </w:pPr>
            <w:r>
              <w:rPr>
                <w:rFonts w:hint="eastAsia" w:ascii="宋体" w:hAnsi="宋体" w:cs="宋体"/>
                <w:b/>
                <w:kern w:val="0"/>
                <w:szCs w:val="21"/>
              </w:rPr>
              <w:t>一级指标</w:t>
            </w:r>
          </w:p>
        </w:tc>
        <w:tc>
          <w:tcPr>
            <w:tcW w:w="1200" w:type="dxa"/>
            <w:noWrap w:val="0"/>
            <w:vAlign w:val="center"/>
          </w:tcPr>
          <w:p>
            <w:pPr>
              <w:jc w:val="center"/>
              <w:textAlignment w:val="center"/>
              <w:rPr>
                <w:rFonts w:ascii="宋体" w:cs="宋体"/>
                <w:b/>
                <w:szCs w:val="21"/>
              </w:rPr>
            </w:pPr>
            <w:r>
              <w:rPr>
                <w:rFonts w:hint="eastAsia" w:ascii="宋体" w:hAnsi="宋体" w:cs="宋体"/>
                <w:b/>
                <w:kern w:val="0"/>
                <w:szCs w:val="21"/>
              </w:rPr>
              <w:t>二级指标</w:t>
            </w:r>
          </w:p>
        </w:tc>
        <w:tc>
          <w:tcPr>
            <w:tcW w:w="3498" w:type="dxa"/>
            <w:noWrap w:val="0"/>
            <w:vAlign w:val="center"/>
          </w:tcPr>
          <w:p>
            <w:pPr>
              <w:ind w:right="-107" w:rightChars="-51"/>
              <w:jc w:val="center"/>
              <w:textAlignment w:val="center"/>
              <w:rPr>
                <w:rFonts w:ascii="宋体" w:cs="宋体"/>
                <w:b/>
                <w:szCs w:val="21"/>
              </w:rPr>
            </w:pPr>
            <w:r>
              <w:rPr>
                <w:rFonts w:hint="eastAsia" w:ascii="宋体" w:hAnsi="宋体" w:cs="宋体"/>
                <w:b/>
                <w:kern w:val="0"/>
                <w:szCs w:val="21"/>
              </w:rPr>
              <w:t>三级指标</w:t>
            </w:r>
          </w:p>
        </w:tc>
        <w:tc>
          <w:tcPr>
            <w:tcW w:w="675" w:type="dxa"/>
            <w:noWrap w:val="0"/>
            <w:vAlign w:val="center"/>
          </w:tcPr>
          <w:p>
            <w:pPr>
              <w:ind w:right="-107" w:rightChars="-51"/>
              <w:textAlignment w:val="center"/>
              <w:rPr>
                <w:rFonts w:ascii="宋体" w:cs="宋体"/>
                <w:b/>
                <w:szCs w:val="21"/>
              </w:rPr>
            </w:pPr>
            <w:r>
              <w:rPr>
                <w:rFonts w:hint="eastAsia" w:ascii="宋体" w:hAnsi="宋体" w:cs="宋体"/>
                <w:b/>
                <w:szCs w:val="21"/>
              </w:rPr>
              <w:t>分值</w:t>
            </w:r>
          </w:p>
        </w:tc>
        <w:tc>
          <w:tcPr>
            <w:tcW w:w="3190" w:type="dxa"/>
            <w:noWrap w:val="0"/>
            <w:vAlign w:val="center"/>
          </w:tcPr>
          <w:p>
            <w:pPr>
              <w:jc w:val="center"/>
              <w:textAlignment w:val="center"/>
              <w:rPr>
                <w:rFonts w:ascii="宋体" w:cs="宋体"/>
                <w:b/>
                <w:kern w:val="0"/>
                <w:szCs w:val="21"/>
              </w:rPr>
            </w:pPr>
            <w:r>
              <w:rPr>
                <w:rFonts w:hint="eastAsia" w:ascii="宋体" w:hAnsi="宋体" w:cs="宋体"/>
                <w:b/>
                <w:szCs w:val="21"/>
              </w:rPr>
              <w:t>评分要点</w:t>
            </w:r>
          </w:p>
        </w:tc>
        <w:tc>
          <w:tcPr>
            <w:tcW w:w="2000"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695"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260"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170" w:type="dxa"/>
            <w:vMerge w:val="restart"/>
            <w:noWrap w:val="0"/>
            <w:vAlign w:val="center"/>
          </w:tcPr>
          <w:p>
            <w:pPr>
              <w:jc w:val="center"/>
              <w:rPr>
                <w:rFonts w:ascii="宋体" w:cs="宋体"/>
                <w:b/>
                <w:kern w:val="0"/>
                <w:szCs w:val="21"/>
              </w:rPr>
            </w:pPr>
            <w:r>
              <w:rPr>
                <w:rFonts w:ascii="仿宋_GB2312" w:hAnsi="宋体" w:eastAsia="仿宋_GB2312" w:cs="仿宋_GB2312"/>
                <w:kern w:val="0"/>
                <w:sz w:val="20"/>
                <w:szCs w:val="20"/>
              </w:rPr>
              <w:t>A3.</w:t>
            </w:r>
            <w:r>
              <w:rPr>
                <w:rFonts w:hint="eastAsia" w:ascii="仿宋_GB2312" w:hAnsi="宋体" w:eastAsia="仿宋_GB2312" w:cs="仿宋_GB2312"/>
                <w:kern w:val="0"/>
                <w:sz w:val="20"/>
                <w:szCs w:val="20"/>
              </w:rPr>
              <w:t>各级各类教育发展情况（</w:t>
            </w:r>
            <w:r>
              <w:rPr>
                <w:rFonts w:ascii="仿宋_GB2312" w:hAnsi="宋体" w:eastAsia="仿宋_GB2312" w:cs="仿宋_GB2312"/>
                <w:kern w:val="0"/>
                <w:sz w:val="20"/>
                <w:szCs w:val="20"/>
              </w:rPr>
              <w:t>26</w:t>
            </w:r>
            <w:r>
              <w:rPr>
                <w:rFonts w:hint="eastAsia" w:ascii="仿宋_GB2312" w:hAnsi="宋体" w:eastAsia="仿宋_GB2312" w:cs="仿宋_GB2312"/>
                <w:kern w:val="0"/>
                <w:sz w:val="20"/>
                <w:szCs w:val="20"/>
              </w:rPr>
              <w:t>分）</w:t>
            </w:r>
          </w:p>
        </w:tc>
        <w:tc>
          <w:tcPr>
            <w:tcW w:w="1200" w:type="dxa"/>
            <w:vMerge w:val="restart"/>
            <w:noWrap w:val="0"/>
            <w:vAlign w:val="center"/>
          </w:tcPr>
          <w:p>
            <w:pPr>
              <w:jc w:val="center"/>
            </w:pPr>
            <w:r>
              <w:rPr>
                <w:rFonts w:ascii="仿宋_GB2312" w:hAnsi="宋体" w:eastAsia="仿宋_GB2312" w:cs="仿宋_GB2312"/>
                <w:kern w:val="0"/>
                <w:sz w:val="20"/>
                <w:szCs w:val="20"/>
              </w:rPr>
              <w:t>B10.</w:t>
            </w:r>
            <w:r>
              <w:rPr>
                <w:rFonts w:hint="eastAsia" w:ascii="仿宋_GB2312" w:hAnsi="宋体" w:eastAsia="仿宋_GB2312" w:cs="仿宋_GB2312"/>
                <w:kern w:val="0"/>
                <w:sz w:val="20"/>
                <w:szCs w:val="20"/>
              </w:rPr>
              <w:t>推进高中阶段教育普及</w:t>
            </w:r>
          </w:p>
        </w:tc>
        <w:tc>
          <w:tcPr>
            <w:tcW w:w="3498"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C20.</w:t>
            </w:r>
            <w:r>
              <w:rPr>
                <w:rFonts w:hint="eastAsia" w:ascii="仿宋_GB2312" w:hAnsi="宋体" w:eastAsia="仿宋_GB2312" w:cs="仿宋_GB2312"/>
                <w:kern w:val="0"/>
                <w:sz w:val="20"/>
                <w:szCs w:val="20"/>
              </w:rPr>
              <w:t>高中阶段毛入学率达</w:t>
            </w:r>
            <w:r>
              <w:rPr>
                <w:rFonts w:ascii="仿宋_GB2312" w:hAnsi="宋体" w:eastAsia="仿宋_GB2312" w:cs="仿宋_GB2312"/>
                <w:kern w:val="0"/>
                <w:sz w:val="20"/>
                <w:szCs w:val="20"/>
              </w:rPr>
              <w:t>90%</w:t>
            </w:r>
            <w:r>
              <w:rPr>
                <w:rFonts w:hint="eastAsia" w:ascii="仿宋_GB2312" w:hAnsi="宋体" w:eastAsia="仿宋_GB2312" w:cs="仿宋_GB2312"/>
                <w:kern w:val="0"/>
                <w:sz w:val="20"/>
                <w:szCs w:val="20"/>
              </w:rPr>
              <w:t>以上，普及高中阶段教育，普通高中与中等职业教育的招生比例大体相当。</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90" w:type="dxa"/>
            <w:noWrap w:val="0"/>
            <w:vAlign w:val="center"/>
          </w:tcPr>
          <w:p>
            <w:pPr>
              <w:spacing w:line="260" w:lineRule="exact"/>
            </w:pPr>
            <w:r>
              <w:rPr>
                <w:rFonts w:hint="eastAsia" w:ascii="仿宋_GB2312" w:hAnsi="仿宋_GB2312" w:eastAsia="仿宋_GB2312" w:cs="仿宋_GB2312"/>
                <w:sz w:val="20"/>
                <w:szCs w:val="20"/>
              </w:rPr>
              <w:t>查阅资料，实地考察，个别访谈，召开座谈会等，</w:t>
            </w:r>
            <w:r>
              <w:rPr>
                <w:rFonts w:hint="eastAsia" w:ascii="仿宋_GB2312" w:hAnsi="宋体" w:eastAsia="仿宋_GB2312" w:cs="仿宋_GB2312"/>
                <w:kern w:val="0"/>
                <w:sz w:val="20"/>
                <w:szCs w:val="20"/>
              </w:rPr>
              <w:t>高中阶段毛入学率达不到</w:t>
            </w:r>
            <w:r>
              <w:rPr>
                <w:rFonts w:ascii="仿宋_GB2312" w:hAnsi="宋体" w:eastAsia="仿宋_GB2312" w:cs="仿宋_GB2312"/>
                <w:kern w:val="0"/>
                <w:sz w:val="20"/>
                <w:szCs w:val="20"/>
              </w:rPr>
              <w:t>90%</w:t>
            </w:r>
            <w:r>
              <w:rPr>
                <w:rFonts w:hint="eastAsia" w:ascii="仿宋_GB2312" w:hAnsi="宋体" w:eastAsia="仿宋_GB2312" w:cs="仿宋_GB2312"/>
                <w:kern w:val="0"/>
                <w:sz w:val="20"/>
                <w:szCs w:val="20"/>
              </w:rPr>
              <w:t>的，每少</w:t>
            </w:r>
            <w:r>
              <w:rPr>
                <w:rFonts w:ascii="仿宋_GB2312" w:hAnsi="宋体" w:eastAsia="仿宋_GB2312" w:cs="仿宋_GB2312"/>
                <w:kern w:val="0"/>
                <w:sz w:val="20"/>
                <w:szCs w:val="20"/>
              </w:rPr>
              <w:t>0.5</w:t>
            </w:r>
            <w:r>
              <w:rPr>
                <w:rFonts w:hint="eastAsia" w:ascii="仿宋_GB2312" w:hAnsi="宋体" w:eastAsia="仿宋_GB2312" w:cs="仿宋_GB2312"/>
                <w:kern w:val="0"/>
                <w:sz w:val="20"/>
                <w:szCs w:val="20"/>
              </w:rPr>
              <w:t>个百分点扣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w:t>
            </w:r>
            <w:r>
              <w:rPr>
                <w:rFonts w:hint="eastAsia" w:ascii="仿宋_GB2312" w:hAnsi="仿宋_GB2312" w:eastAsia="仿宋_GB2312" w:cs="仿宋_GB2312"/>
                <w:sz w:val="20"/>
                <w:szCs w:val="20"/>
              </w:rPr>
              <w:t>中等职业学校招生占高中阶段招生比低于</w:t>
            </w:r>
            <w:r>
              <w:rPr>
                <w:rFonts w:ascii="仿宋_GB2312" w:hAnsi="仿宋_GB2312" w:eastAsia="仿宋_GB2312" w:cs="仿宋_GB2312"/>
                <w:sz w:val="20"/>
                <w:szCs w:val="20"/>
              </w:rPr>
              <w:t>40%</w:t>
            </w:r>
            <w:r>
              <w:rPr>
                <w:rFonts w:hint="eastAsia" w:ascii="仿宋_GB2312" w:hAnsi="仿宋_GB2312" w:eastAsia="仿宋_GB2312" w:cs="仿宋_GB2312"/>
                <w:sz w:val="20"/>
                <w:szCs w:val="20"/>
              </w:rPr>
              <w:t>，每低</w:t>
            </w:r>
            <w:r>
              <w:rPr>
                <w:rFonts w:ascii="仿宋_GB2312" w:hAnsi="仿宋_GB2312" w:eastAsia="仿宋_GB2312" w:cs="仿宋_GB2312"/>
                <w:sz w:val="20"/>
                <w:szCs w:val="20"/>
              </w:rPr>
              <w:t>1</w:t>
            </w:r>
            <w:r>
              <w:rPr>
                <w:rFonts w:hint="eastAsia" w:ascii="仿宋_GB2312" w:hAnsi="仿宋_GB2312" w:eastAsia="仿宋_GB2312" w:cs="仿宋_GB2312"/>
                <w:sz w:val="20"/>
                <w:szCs w:val="20"/>
              </w:rPr>
              <w:t>个百分点扣</w:t>
            </w:r>
            <w:r>
              <w:rPr>
                <w:rFonts w:ascii="仿宋_GB2312" w:hAnsi="仿宋_GB2312" w:eastAsia="仿宋_GB2312" w:cs="仿宋_GB2312"/>
                <w:sz w:val="20"/>
                <w:szCs w:val="20"/>
              </w:rPr>
              <w:t>0.1</w:t>
            </w:r>
            <w:r>
              <w:rPr>
                <w:rFonts w:hint="eastAsia" w:ascii="仿宋_GB2312" w:hAnsi="仿宋_GB2312" w:eastAsia="仿宋_GB2312" w:cs="仿宋_GB2312"/>
                <w:sz w:val="20"/>
                <w:szCs w:val="20"/>
              </w:rPr>
              <w:t>分。</w:t>
            </w:r>
          </w:p>
        </w:tc>
        <w:tc>
          <w:tcPr>
            <w:tcW w:w="20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考试中心</w:t>
            </w:r>
          </w:p>
        </w:tc>
        <w:tc>
          <w:tcPr>
            <w:tcW w:w="126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1170" w:type="dxa"/>
            <w:vMerge w:val="continue"/>
            <w:noWrap w:val="0"/>
            <w:vAlign w:val="center"/>
          </w:tcPr>
          <w:p>
            <w:pPr>
              <w:jc w:val="center"/>
              <w:rPr>
                <w:rFonts w:ascii="宋体" w:cs="宋体"/>
                <w:b/>
                <w:kern w:val="0"/>
                <w:szCs w:val="21"/>
              </w:rPr>
            </w:pPr>
          </w:p>
        </w:tc>
        <w:tc>
          <w:tcPr>
            <w:tcW w:w="1200" w:type="dxa"/>
            <w:vMerge w:val="continue"/>
            <w:noWrap w:val="0"/>
            <w:vAlign w:val="center"/>
          </w:tcPr>
          <w:p>
            <w:pPr>
              <w:jc w:val="center"/>
            </w:pPr>
          </w:p>
        </w:tc>
        <w:tc>
          <w:tcPr>
            <w:tcW w:w="3498"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C21.</w:t>
            </w:r>
            <w:r>
              <w:rPr>
                <w:rFonts w:hint="eastAsia" w:ascii="仿宋_GB2312" w:hAnsi="宋体" w:eastAsia="仿宋_GB2312" w:cs="仿宋_GB2312"/>
                <w:kern w:val="0"/>
                <w:sz w:val="20"/>
                <w:szCs w:val="20"/>
              </w:rPr>
              <w:t>全面建立和落实高中阶段生均拨款制度或生均公用经费制度。出台推动各类高中学校、中职学校标准化、多样化、有特色发展的政策措施，并有效落实。</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90" w:type="dxa"/>
            <w:noWrap w:val="0"/>
            <w:vAlign w:val="center"/>
          </w:tcPr>
          <w:p>
            <w:pPr>
              <w:spacing w:line="26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查阅财政、发改等部门有关资料，实地考察学校，个别访谈，召开座谈会等，没有制定并落实</w:t>
            </w:r>
            <w:r>
              <w:rPr>
                <w:rFonts w:hint="eastAsia" w:ascii="仿宋_GB2312" w:hAnsi="宋体" w:eastAsia="仿宋_GB2312" w:cs="仿宋_GB2312"/>
                <w:kern w:val="0"/>
                <w:sz w:val="20"/>
                <w:szCs w:val="20"/>
              </w:rPr>
              <w:t>普通高中、中等职业学校生均拨款制度或生均公用经费制度的扣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r>
              <w:rPr>
                <w:rFonts w:hint="eastAsia" w:ascii="仿宋_GB2312" w:hAnsi="仿宋_GB2312" w:eastAsia="仿宋_GB2312" w:cs="仿宋_GB2312"/>
                <w:sz w:val="20"/>
                <w:szCs w:val="20"/>
              </w:rPr>
              <w:t>普通高中标准化建设无措施、无落实、无效果的扣</w:t>
            </w:r>
            <w:r>
              <w:rPr>
                <w:rFonts w:ascii="仿宋_GB2312" w:hAnsi="仿宋_GB2312" w:eastAsia="仿宋_GB2312" w:cs="仿宋_GB2312"/>
                <w:sz w:val="20"/>
                <w:szCs w:val="20"/>
              </w:rPr>
              <w:t>0.2-0.5</w:t>
            </w:r>
            <w:r>
              <w:rPr>
                <w:rFonts w:hint="eastAsia" w:ascii="仿宋_GB2312" w:hAnsi="仿宋_GB2312" w:eastAsia="仿宋_GB2312" w:cs="仿宋_GB2312"/>
                <w:sz w:val="20"/>
                <w:szCs w:val="20"/>
              </w:rPr>
              <w:t>分。</w:t>
            </w:r>
          </w:p>
        </w:tc>
        <w:tc>
          <w:tcPr>
            <w:tcW w:w="20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县财政局</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发改局</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教育工作领导小组、教体局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计财审计室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tc>
        <w:tc>
          <w:tcPr>
            <w:tcW w:w="1260" w:type="dxa"/>
            <w:noWrap w:val="0"/>
            <w:vAlign w:val="center"/>
          </w:tcPr>
          <w:p>
            <w:pPr>
              <w:jc w:val="center"/>
              <w:rPr>
                <w:rFonts w:asci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1170" w:type="dxa"/>
            <w:vMerge w:val="continue"/>
            <w:noWrap w:val="0"/>
            <w:vAlign w:val="center"/>
          </w:tcPr>
          <w:p>
            <w:pPr>
              <w:jc w:val="center"/>
            </w:pPr>
          </w:p>
        </w:tc>
        <w:tc>
          <w:tcPr>
            <w:tcW w:w="1200" w:type="dxa"/>
            <w:noWrap w:val="0"/>
            <w:vAlign w:val="center"/>
          </w:tcPr>
          <w:p>
            <w:pPr>
              <w:jc w:val="center"/>
            </w:pPr>
            <w:r>
              <w:rPr>
                <w:rFonts w:ascii="仿宋_GB2312" w:hAnsi="宋体" w:eastAsia="仿宋_GB2312" w:cs="仿宋_GB2312"/>
                <w:kern w:val="0"/>
                <w:sz w:val="20"/>
                <w:szCs w:val="20"/>
              </w:rPr>
              <w:t>B11.</w:t>
            </w:r>
            <w:r>
              <w:rPr>
                <w:rFonts w:hint="eastAsia" w:ascii="仿宋_GB2312" w:hAnsi="宋体" w:eastAsia="仿宋_GB2312" w:cs="仿宋_GB2312"/>
                <w:kern w:val="0"/>
                <w:sz w:val="20"/>
                <w:szCs w:val="20"/>
              </w:rPr>
              <w:t>加快发展现代职业教育</w:t>
            </w:r>
          </w:p>
        </w:tc>
        <w:tc>
          <w:tcPr>
            <w:tcW w:w="3498"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 xml:space="preserve">C22. </w:t>
            </w:r>
            <w:r>
              <w:rPr>
                <w:rFonts w:hint="eastAsia" w:ascii="仿宋_GB2312" w:hAnsi="宋体" w:eastAsia="仿宋_GB2312" w:cs="仿宋_GB2312"/>
                <w:kern w:val="0"/>
                <w:sz w:val="20"/>
                <w:szCs w:val="20"/>
              </w:rPr>
              <w:t>中等职业院校专业设置合理，注重学生技能培养，在校生年巩固率达到</w:t>
            </w:r>
            <w:r>
              <w:rPr>
                <w:rFonts w:ascii="仿宋_GB2312" w:hAnsi="宋体" w:eastAsia="仿宋_GB2312" w:cs="仿宋_GB2312"/>
                <w:kern w:val="0"/>
                <w:sz w:val="20"/>
                <w:szCs w:val="20"/>
              </w:rPr>
              <w:t>85%</w:t>
            </w:r>
            <w:r>
              <w:rPr>
                <w:rFonts w:hint="eastAsia" w:ascii="仿宋_GB2312" w:hAnsi="宋体" w:eastAsia="仿宋_GB2312" w:cs="仿宋_GB2312"/>
                <w:kern w:val="0"/>
                <w:sz w:val="20"/>
                <w:szCs w:val="20"/>
              </w:rPr>
              <w:t>以上，就业率达到</w:t>
            </w:r>
            <w:r>
              <w:rPr>
                <w:rFonts w:ascii="仿宋_GB2312" w:hAnsi="宋体" w:eastAsia="仿宋_GB2312" w:cs="仿宋_GB2312"/>
                <w:kern w:val="0"/>
                <w:sz w:val="20"/>
                <w:szCs w:val="20"/>
              </w:rPr>
              <w:t>90%</w:t>
            </w:r>
            <w:r>
              <w:rPr>
                <w:rFonts w:hint="eastAsia" w:ascii="仿宋_GB2312" w:hAnsi="宋体" w:eastAsia="仿宋_GB2312" w:cs="仿宋_GB2312"/>
                <w:kern w:val="0"/>
                <w:sz w:val="20"/>
                <w:szCs w:val="20"/>
              </w:rPr>
              <w:t>以上，职业学校办学基础能力得到提高</w:t>
            </w:r>
            <w:r>
              <w:rPr>
                <w:rFonts w:ascii="仿宋_GB2312" w:hAnsi="宋体" w:eastAsia="仿宋_GB2312" w:cs="仿宋_GB2312"/>
                <w:kern w:val="0"/>
                <w:sz w:val="20"/>
                <w:szCs w:val="20"/>
              </w:rPr>
              <w:t>,</w:t>
            </w:r>
            <w:r>
              <w:rPr>
                <w:rFonts w:hint="eastAsia" w:ascii="仿宋_GB2312" w:hAnsi="宋体" w:eastAsia="仿宋_GB2312" w:cs="仿宋_GB2312"/>
                <w:kern w:val="0"/>
                <w:sz w:val="20"/>
                <w:szCs w:val="20"/>
              </w:rPr>
              <w:t>生均教学仪器设备值达到要求</w:t>
            </w:r>
            <w:r>
              <w:rPr>
                <w:rFonts w:ascii="仿宋_GB2312" w:hAnsi="宋体" w:eastAsia="仿宋_GB2312" w:cs="仿宋_GB2312"/>
                <w:kern w:val="0"/>
                <w:sz w:val="20"/>
                <w:szCs w:val="20"/>
              </w:rPr>
              <w:t>,</w:t>
            </w:r>
            <w:r>
              <w:rPr>
                <w:rFonts w:hint="eastAsia" w:ascii="仿宋_GB2312" w:hAnsi="宋体" w:eastAsia="仿宋_GB2312" w:cs="仿宋_GB2312"/>
                <w:kern w:val="0"/>
                <w:sz w:val="20"/>
                <w:szCs w:val="20"/>
              </w:rPr>
              <w:t>职业学校专业课教师中“双师型”教师达到</w:t>
            </w:r>
            <w:r>
              <w:rPr>
                <w:rFonts w:ascii="仿宋_GB2312" w:hAnsi="宋体" w:eastAsia="仿宋_GB2312" w:cs="仿宋_GB2312"/>
                <w:kern w:val="0"/>
                <w:sz w:val="20"/>
                <w:szCs w:val="20"/>
              </w:rPr>
              <w:t>50%</w:t>
            </w:r>
            <w:r>
              <w:rPr>
                <w:rFonts w:hint="eastAsia" w:ascii="仿宋_GB2312" w:hAnsi="宋体" w:eastAsia="仿宋_GB2312" w:cs="仿宋_GB2312"/>
                <w:kern w:val="0"/>
                <w:sz w:val="20"/>
                <w:szCs w:val="20"/>
              </w:rPr>
              <w:t>以上。</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190" w:type="dxa"/>
            <w:noWrap w:val="0"/>
            <w:vAlign w:val="center"/>
          </w:tcPr>
          <w:p>
            <w:r>
              <w:rPr>
                <w:rFonts w:hint="eastAsia" w:ascii="仿宋_GB2312" w:hAnsi="仿宋_GB2312" w:eastAsia="仿宋_GB2312" w:cs="仿宋_GB2312"/>
                <w:sz w:val="20"/>
                <w:szCs w:val="20"/>
              </w:rPr>
              <w:t>查阅编制、发改、财政、建设、人力资源等部门有关资料，实地考察学校，个别访谈，召开座谈会等，</w:t>
            </w:r>
            <w:r>
              <w:rPr>
                <w:rFonts w:hint="eastAsia" w:ascii="仿宋_GB2312" w:hAnsi="宋体" w:eastAsia="仿宋_GB2312" w:cs="仿宋_GB2312"/>
                <w:kern w:val="0"/>
                <w:sz w:val="20"/>
                <w:szCs w:val="20"/>
              </w:rPr>
              <w:t>中职院校在校生年巩固率、就业率、生均教学仪器设备值、“双师型”教师比例等每项达不到规定要求各扣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20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县委编办、县发改局、财政局、住建局、人社局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教育管理室联系相关部门</w:t>
            </w:r>
          </w:p>
        </w:tc>
        <w:tc>
          <w:tcPr>
            <w:tcW w:w="126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170" w:type="dxa"/>
            <w:noWrap w:val="0"/>
            <w:vAlign w:val="center"/>
          </w:tcPr>
          <w:p>
            <w:pPr>
              <w:jc w:val="center"/>
              <w:textAlignment w:val="center"/>
              <w:rPr>
                <w:rFonts w:ascii="宋体" w:cs="宋体"/>
                <w:b/>
                <w:kern w:val="0"/>
                <w:szCs w:val="21"/>
              </w:rPr>
            </w:pPr>
            <w:r>
              <w:rPr>
                <w:rFonts w:hint="eastAsia" w:ascii="宋体" w:hAnsi="宋体" w:cs="宋体"/>
                <w:b/>
                <w:kern w:val="0"/>
                <w:szCs w:val="21"/>
              </w:rPr>
              <w:t>一级指标</w:t>
            </w:r>
          </w:p>
        </w:tc>
        <w:tc>
          <w:tcPr>
            <w:tcW w:w="1200" w:type="dxa"/>
            <w:noWrap w:val="0"/>
            <w:vAlign w:val="center"/>
          </w:tcPr>
          <w:p>
            <w:pPr>
              <w:jc w:val="center"/>
              <w:textAlignment w:val="center"/>
              <w:rPr>
                <w:rFonts w:ascii="宋体" w:cs="宋体"/>
                <w:b/>
                <w:kern w:val="0"/>
                <w:szCs w:val="21"/>
              </w:rPr>
            </w:pPr>
            <w:r>
              <w:rPr>
                <w:rFonts w:hint="eastAsia" w:ascii="宋体" w:hAnsi="宋体" w:cs="宋体"/>
                <w:b/>
                <w:kern w:val="0"/>
                <w:szCs w:val="21"/>
              </w:rPr>
              <w:t>二级指标</w:t>
            </w:r>
          </w:p>
        </w:tc>
        <w:tc>
          <w:tcPr>
            <w:tcW w:w="3498" w:type="dxa"/>
            <w:noWrap w:val="0"/>
            <w:vAlign w:val="center"/>
          </w:tcPr>
          <w:p>
            <w:pPr>
              <w:jc w:val="center"/>
              <w:textAlignment w:val="center"/>
              <w:rPr>
                <w:rFonts w:ascii="宋体" w:cs="宋体"/>
                <w:b/>
                <w:kern w:val="0"/>
                <w:szCs w:val="21"/>
              </w:rPr>
            </w:pPr>
            <w:r>
              <w:rPr>
                <w:rFonts w:hint="eastAsia" w:ascii="宋体" w:hAnsi="宋体" w:cs="宋体"/>
                <w:b/>
                <w:kern w:val="0"/>
                <w:szCs w:val="21"/>
              </w:rPr>
              <w:t>三级指标</w:t>
            </w:r>
          </w:p>
        </w:tc>
        <w:tc>
          <w:tcPr>
            <w:tcW w:w="675" w:type="dxa"/>
            <w:noWrap w:val="0"/>
            <w:vAlign w:val="center"/>
          </w:tcPr>
          <w:p>
            <w:pPr>
              <w:jc w:val="center"/>
              <w:textAlignment w:val="center"/>
              <w:rPr>
                <w:rFonts w:ascii="宋体" w:cs="宋体"/>
                <w:b/>
                <w:kern w:val="0"/>
                <w:szCs w:val="21"/>
              </w:rPr>
            </w:pPr>
            <w:r>
              <w:rPr>
                <w:rFonts w:hint="eastAsia" w:ascii="宋体" w:hAnsi="宋体" w:cs="宋体"/>
                <w:b/>
                <w:kern w:val="0"/>
                <w:szCs w:val="21"/>
              </w:rPr>
              <w:t>分值</w:t>
            </w:r>
          </w:p>
        </w:tc>
        <w:tc>
          <w:tcPr>
            <w:tcW w:w="3190" w:type="dxa"/>
            <w:noWrap w:val="0"/>
            <w:vAlign w:val="center"/>
          </w:tcPr>
          <w:p>
            <w:pPr>
              <w:jc w:val="center"/>
              <w:textAlignment w:val="center"/>
              <w:rPr>
                <w:rFonts w:ascii="宋体" w:cs="宋体"/>
                <w:b/>
                <w:kern w:val="0"/>
                <w:szCs w:val="21"/>
              </w:rPr>
            </w:pPr>
            <w:r>
              <w:rPr>
                <w:rFonts w:hint="eastAsia" w:ascii="宋体" w:hAnsi="宋体" w:cs="宋体"/>
                <w:b/>
                <w:kern w:val="0"/>
                <w:szCs w:val="21"/>
              </w:rPr>
              <w:t>评分要点</w:t>
            </w:r>
          </w:p>
        </w:tc>
        <w:tc>
          <w:tcPr>
            <w:tcW w:w="2000" w:type="dxa"/>
            <w:noWrap w:val="0"/>
            <w:vAlign w:val="center"/>
          </w:tcPr>
          <w:p>
            <w:pPr>
              <w:spacing w:line="280" w:lineRule="exact"/>
              <w:jc w:val="center"/>
              <w:textAlignment w:val="center"/>
              <w:rPr>
                <w:rFonts w:hint="eastAsia" w:ascii="宋体" w:hAnsi="宋体" w:cs="宋体"/>
                <w:b/>
                <w:kern w:val="0"/>
                <w:szCs w:val="21"/>
              </w:rPr>
            </w:pPr>
            <w:r>
              <w:rPr>
                <w:rFonts w:hint="eastAsia" w:ascii="宋体" w:hAnsi="宋体" w:cs="宋体"/>
                <w:b/>
                <w:szCs w:val="21"/>
              </w:rPr>
              <w:t>责任单位</w:t>
            </w:r>
          </w:p>
        </w:tc>
        <w:tc>
          <w:tcPr>
            <w:tcW w:w="1695"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260"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70" w:type="dxa"/>
            <w:vMerge w:val="restart"/>
            <w:noWrap w:val="0"/>
            <w:vAlign w:val="center"/>
          </w:tcPr>
          <w:p>
            <w:pPr>
              <w:jc w:val="center"/>
              <w:rPr>
                <w:rFonts w:ascii="宋体" w:cs="宋体"/>
                <w:b/>
                <w:kern w:val="0"/>
                <w:szCs w:val="21"/>
              </w:rPr>
            </w:pPr>
            <w:r>
              <w:rPr>
                <w:rFonts w:ascii="仿宋_GB2312" w:hAnsi="宋体" w:eastAsia="仿宋_GB2312" w:cs="仿宋_GB2312"/>
                <w:kern w:val="0"/>
                <w:sz w:val="20"/>
                <w:szCs w:val="20"/>
              </w:rPr>
              <w:t>A3.</w:t>
            </w:r>
            <w:r>
              <w:rPr>
                <w:rFonts w:hint="eastAsia" w:ascii="仿宋_GB2312" w:hAnsi="宋体" w:eastAsia="仿宋_GB2312" w:cs="仿宋_GB2312"/>
                <w:kern w:val="0"/>
                <w:sz w:val="20"/>
                <w:szCs w:val="20"/>
              </w:rPr>
              <w:t>各级各类教育发展情况（</w:t>
            </w:r>
            <w:r>
              <w:rPr>
                <w:rFonts w:ascii="仿宋_GB2312" w:hAnsi="宋体" w:eastAsia="仿宋_GB2312" w:cs="仿宋_GB2312"/>
                <w:kern w:val="0"/>
                <w:sz w:val="20"/>
                <w:szCs w:val="20"/>
              </w:rPr>
              <w:t>26</w:t>
            </w:r>
            <w:r>
              <w:rPr>
                <w:rFonts w:hint="eastAsia" w:ascii="仿宋_GB2312" w:hAnsi="宋体" w:eastAsia="仿宋_GB2312" w:cs="仿宋_GB2312"/>
                <w:kern w:val="0"/>
                <w:sz w:val="20"/>
                <w:szCs w:val="20"/>
              </w:rPr>
              <w:t>分）</w:t>
            </w:r>
          </w:p>
        </w:tc>
        <w:tc>
          <w:tcPr>
            <w:tcW w:w="1200" w:type="dxa"/>
            <w:noWrap w:val="0"/>
            <w:vAlign w:val="center"/>
          </w:tcPr>
          <w:p>
            <w:pPr>
              <w:jc w:val="center"/>
            </w:pPr>
            <w:r>
              <w:rPr>
                <w:rFonts w:ascii="仿宋_GB2312" w:hAnsi="宋体" w:eastAsia="仿宋_GB2312" w:cs="仿宋_GB2312"/>
                <w:kern w:val="0"/>
                <w:sz w:val="20"/>
                <w:szCs w:val="20"/>
              </w:rPr>
              <w:t>B12.</w:t>
            </w:r>
            <w:r>
              <w:rPr>
                <w:rFonts w:hint="eastAsia" w:ascii="仿宋_GB2312" w:hAnsi="宋体" w:eastAsia="仿宋_GB2312" w:cs="仿宋_GB2312"/>
                <w:kern w:val="0"/>
                <w:sz w:val="20"/>
                <w:szCs w:val="20"/>
              </w:rPr>
              <w:t>促进和规范民办教育发展</w:t>
            </w:r>
          </w:p>
        </w:tc>
        <w:tc>
          <w:tcPr>
            <w:tcW w:w="3498"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C23.</w:t>
            </w:r>
            <w:r>
              <w:rPr>
                <w:rFonts w:hint="eastAsia" w:ascii="仿宋_GB2312" w:hAnsi="宋体" w:eastAsia="仿宋_GB2312" w:cs="仿宋_GB2312"/>
                <w:kern w:val="0"/>
                <w:sz w:val="20"/>
                <w:szCs w:val="20"/>
              </w:rPr>
              <w:t>实行民办教育分类管理，建立完善差别化扶持政策体系，建立健全部门协调配合工作机制和民办教育监督管理体制。将民办学校纳入责任督学挂牌督导范围，规范校外培训机构管理。</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190" w:type="dxa"/>
            <w:noWrap w:val="0"/>
            <w:vAlign w:val="center"/>
          </w:tcPr>
          <w:p>
            <w:pPr>
              <w:textAlignment w:val="center"/>
              <w:rPr>
                <w:rFonts w:ascii="仿宋_GB2312" w:hAnsi="宋体" w:eastAsia="仿宋_GB2312" w:cs="仿宋_GB2312"/>
                <w:kern w:val="0"/>
                <w:sz w:val="20"/>
                <w:szCs w:val="20"/>
              </w:rPr>
            </w:pPr>
            <w:r>
              <w:rPr>
                <w:rFonts w:hint="eastAsia" w:ascii="仿宋_GB2312" w:hAnsi="仿宋_GB2312" w:eastAsia="仿宋_GB2312" w:cs="仿宋_GB2312"/>
                <w:sz w:val="20"/>
                <w:szCs w:val="20"/>
              </w:rPr>
              <w:t>实地考察学校，个别访谈，召开座谈会等，未制定完善促进民办教育发展相应制度的扣</w:t>
            </w:r>
            <w:r>
              <w:rPr>
                <w:rFonts w:ascii="仿宋_GB2312" w:hAnsi="仿宋_GB2312" w:eastAsia="仿宋_GB2312" w:cs="仿宋_GB2312"/>
                <w:sz w:val="20"/>
                <w:szCs w:val="20"/>
              </w:rPr>
              <w:t>0.2</w:t>
            </w:r>
            <w:r>
              <w:rPr>
                <w:rFonts w:hint="eastAsia" w:ascii="仿宋_GB2312" w:hAnsi="仿宋_GB2312" w:eastAsia="仿宋_GB2312" w:cs="仿宋_GB2312"/>
                <w:sz w:val="20"/>
                <w:szCs w:val="20"/>
              </w:rPr>
              <w:t>分，</w:t>
            </w:r>
            <w:r>
              <w:rPr>
                <w:rFonts w:hint="eastAsia" w:ascii="仿宋_GB2312" w:hAnsi="宋体" w:eastAsia="仿宋_GB2312" w:cs="仿宋_GB2312"/>
                <w:kern w:val="0"/>
                <w:sz w:val="20"/>
                <w:szCs w:val="20"/>
              </w:rPr>
              <w:t>民办学校没有完全纳入责任督学挂牌督导范围的扣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分，对民办学校或者校外培训机构管理不规范、整治不彻底的扣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20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695" w:type="dxa"/>
            <w:noWrap w:val="0"/>
            <w:vAlign w:val="center"/>
          </w:tcPr>
          <w:p>
            <w:pPr>
              <w:jc w:val="center"/>
              <w:rPr>
                <w:rFonts w:hint="eastAsia" w:ascii="仿宋_GB2312" w:hAnsi="仿宋_GB2312" w:eastAsia="仿宋_GB2312" w:cs="仿宋_GB2312"/>
                <w:b/>
                <w:bCs/>
                <w:kern w:val="0"/>
                <w:sz w:val="15"/>
                <w:szCs w:val="15"/>
              </w:rPr>
            </w:pPr>
            <w:r>
              <w:rPr>
                <w:rFonts w:hint="eastAsia" w:ascii="仿宋_GB2312" w:hAnsi="仿宋_GB2312" w:eastAsia="仿宋_GB2312" w:cs="仿宋_GB2312"/>
                <w:b/>
                <w:bCs/>
                <w:kern w:val="0"/>
                <w:sz w:val="24"/>
              </w:rPr>
              <w:t>教育管理室</w:t>
            </w:r>
          </w:p>
        </w:tc>
        <w:tc>
          <w:tcPr>
            <w:tcW w:w="126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1170" w:type="dxa"/>
            <w:vMerge w:val="continue"/>
            <w:noWrap w:val="0"/>
            <w:vAlign w:val="center"/>
          </w:tcPr>
          <w:p>
            <w:pPr>
              <w:jc w:val="center"/>
              <w:rPr>
                <w:rFonts w:ascii="宋体" w:cs="宋体"/>
                <w:b/>
                <w:kern w:val="0"/>
                <w:szCs w:val="21"/>
              </w:rPr>
            </w:pPr>
          </w:p>
        </w:tc>
        <w:tc>
          <w:tcPr>
            <w:tcW w:w="1200" w:type="dxa"/>
            <w:noWrap w:val="0"/>
            <w:vAlign w:val="center"/>
          </w:tcPr>
          <w:p>
            <w:pPr>
              <w:jc w:val="center"/>
            </w:pPr>
            <w:r>
              <w:rPr>
                <w:rFonts w:ascii="仿宋_GB2312" w:hAnsi="宋体" w:eastAsia="仿宋_GB2312" w:cs="仿宋_GB2312"/>
                <w:kern w:val="0"/>
                <w:sz w:val="20"/>
                <w:szCs w:val="20"/>
              </w:rPr>
              <w:t xml:space="preserve">B13. </w:t>
            </w:r>
            <w:r>
              <w:rPr>
                <w:rFonts w:hint="eastAsia" w:ascii="仿宋_GB2312" w:hAnsi="宋体" w:eastAsia="仿宋_GB2312" w:cs="仿宋_GB2312"/>
                <w:kern w:val="0"/>
                <w:sz w:val="20"/>
                <w:szCs w:val="20"/>
              </w:rPr>
              <w:t>加快发展民族教育</w:t>
            </w:r>
          </w:p>
        </w:tc>
        <w:tc>
          <w:tcPr>
            <w:tcW w:w="3498"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C24.</w:t>
            </w:r>
            <w:r>
              <w:rPr>
                <w:rFonts w:hint="eastAsia" w:ascii="仿宋_GB2312" w:hAnsi="宋体" w:eastAsia="仿宋_GB2312" w:cs="仿宋_GB2312"/>
                <w:kern w:val="0"/>
                <w:sz w:val="20"/>
                <w:szCs w:val="20"/>
              </w:rPr>
              <w:t>贯彻落实民族教育“优先发展、重点扶持”的方针，采取措施提高少数民族人口受教育水平；各级各类学校少数民族在校生比例达到本县少数民族人口自然比例，推进民族团结教育进校园。</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90" w:type="dxa"/>
            <w:noWrap w:val="0"/>
            <w:vAlign w:val="center"/>
          </w:tcPr>
          <w:p>
            <w:pP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查阅资料、实地核查、走访座谈。没有制定民族教育优先发展政策措施的扣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分；各学段学校少数民族在校生比例每低于本县少数民族人口自然比例</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个百分点的扣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w:t>
            </w:r>
          </w:p>
        </w:tc>
        <w:tc>
          <w:tcPr>
            <w:tcW w:w="20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tc>
        <w:tc>
          <w:tcPr>
            <w:tcW w:w="126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170" w:type="dxa"/>
            <w:vMerge w:val="continue"/>
            <w:noWrap w:val="0"/>
            <w:vAlign w:val="center"/>
          </w:tcPr>
          <w:p>
            <w:pPr>
              <w:jc w:val="center"/>
            </w:pPr>
          </w:p>
        </w:tc>
        <w:tc>
          <w:tcPr>
            <w:tcW w:w="1200" w:type="dxa"/>
            <w:noWrap w:val="0"/>
            <w:vAlign w:val="center"/>
          </w:tcPr>
          <w:p>
            <w:pPr>
              <w:jc w:val="center"/>
            </w:pPr>
            <w:r>
              <w:rPr>
                <w:rFonts w:ascii="仿宋_GB2312" w:hAnsi="宋体" w:eastAsia="仿宋_GB2312" w:cs="仿宋_GB2312"/>
                <w:kern w:val="0"/>
                <w:sz w:val="20"/>
                <w:szCs w:val="20"/>
              </w:rPr>
              <w:t>B14.</w:t>
            </w:r>
            <w:r>
              <w:rPr>
                <w:rFonts w:hint="eastAsia" w:ascii="仿宋_GB2312" w:hAnsi="宋体" w:eastAsia="仿宋_GB2312" w:cs="仿宋_GB2312"/>
                <w:kern w:val="0"/>
                <w:sz w:val="20"/>
                <w:szCs w:val="20"/>
              </w:rPr>
              <w:t>办好特殊教育</w:t>
            </w:r>
          </w:p>
        </w:tc>
        <w:tc>
          <w:tcPr>
            <w:tcW w:w="3498"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C25.30</w:t>
            </w:r>
            <w:r>
              <w:rPr>
                <w:rFonts w:hint="eastAsia" w:ascii="仿宋_GB2312" w:hAnsi="宋体" w:eastAsia="仿宋_GB2312" w:cs="仿宋_GB2312"/>
                <w:kern w:val="0"/>
                <w:sz w:val="20"/>
                <w:szCs w:val="20"/>
              </w:rPr>
              <w:t>万人口以上的县（市、区</w:t>
            </w:r>
            <w:r>
              <w:rPr>
                <w:rFonts w:ascii="仿宋_GB2312" w:hAnsi="宋体" w:eastAsia="仿宋_GB2312" w:cs="仿宋_GB2312"/>
                <w:kern w:val="0"/>
                <w:sz w:val="20"/>
                <w:szCs w:val="20"/>
              </w:rPr>
              <w:t>)</w:t>
            </w:r>
            <w:r>
              <w:rPr>
                <w:rFonts w:hint="eastAsia" w:ascii="仿宋_GB2312" w:hAnsi="宋体" w:eastAsia="仿宋_GB2312" w:cs="仿宋_GB2312"/>
                <w:kern w:val="0"/>
                <w:sz w:val="20"/>
                <w:szCs w:val="20"/>
              </w:rPr>
              <w:t>独立设置一所特殊教育学校，</w:t>
            </w:r>
            <w:r>
              <w:rPr>
                <w:rFonts w:ascii="仿宋_GB2312" w:hAnsi="宋体" w:eastAsia="仿宋_GB2312" w:cs="仿宋_GB2312"/>
                <w:kern w:val="0"/>
                <w:sz w:val="20"/>
                <w:szCs w:val="20"/>
              </w:rPr>
              <w:t>30</w:t>
            </w:r>
            <w:r>
              <w:rPr>
                <w:rFonts w:hint="eastAsia" w:ascii="仿宋_GB2312" w:hAnsi="宋体" w:eastAsia="仿宋_GB2312" w:cs="仿宋_GB2312"/>
                <w:kern w:val="0"/>
                <w:sz w:val="20"/>
                <w:szCs w:val="20"/>
              </w:rPr>
              <w:t>万人口以下未建设特殊教育学校的县（市、区）根据实际需要在普通学校设立特殊教育资源教室（中心）。残疾儿童少年义务教育入学率达到自治区规划目标值。</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190" w:type="dxa"/>
            <w:noWrap w:val="0"/>
            <w:vAlign w:val="center"/>
          </w:tcPr>
          <w:p>
            <w:pP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实地核查、走访座谈。</w:t>
            </w:r>
            <w:r>
              <w:rPr>
                <w:rFonts w:ascii="仿宋_GB2312" w:hAnsi="宋体" w:eastAsia="仿宋_GB2312" w:cs="仿宋_GB2312"/>
                <w:kern w:val="0"/>
                <w:sz w:val="20"/>
                <w:szCs w:val="20"/>
              </w:rPr>
              <w:t>30</w:t>
            </w:r>
            <w:r>
              <w:rPr>
                <w:rFonts w:hint="eastAsia" w:ascii="仿宋_GB2312" w:hAnsi="宋体" w:eastAsia="仿宋_GB2312" w:cs="仿宋_GB2312"/>
                <w:kern w:val="0"/>
                <w:sz w:val="20"/>
                <w:szCs w:val="20"/>
              </w:rPr>
              <w:t>万人口以上的县（市、区）没有特殊教育学校的、</w:t>
            </w:r>
            <w:r>
              <w:rPr>
                <w:rFonts w:ascii="仿宋_GB2312" w:hAnsi="宋体" w:eastAsia="仿宋_GB2312" w:cs="仿宋_GB2312"/>
                <w:kern w:val="0"/>
                <w:sz w:val="20"/>
                <w:szCs w:val="20"/>
              </w:rPr>
              <w:t>30</w:t>
            </w:r>
            <w:r>
              <w:rPr>
                <w:rFonts w:hint="eastAsia" w:ascii="仿宋_GB2312" w:hAnsi="宋体" w:eastAsia="仿宋_GB2312" w:cs="仿宋_GB2312"/>
                <w:kern w:val="0"/>
                <w:sz w:val="20"/>
                <w:szCs w:val="20"/>
              </w:rPr>
              <w:t>万人口以下没有资源教室的分别扣</w:t>
            </w:r>
            <w:r>
              <w:rPr>
                <w:rFonts w:ascii="仿宋_GB2312" w:hAnsi="宋体" w:eastAsia="仿宋_GB2312" w:cs="仿宋_GB2312"/>
                <w:kern w:val="0"/>
                <w:sz w:val="20"/>
                <w:szCs w:val="20"/>
              </w:rPr>
              <w:t>0.3</w:t>
            </w:r>
            <w:r>
              <w:rPr>
                <w:rFonts w:hint="eastAsia" w:ascii="仿宋_GB2312" w:hAnsi="宋体" w:eastAsia="仿宋_GB2312" w:cs="仿宋_GB2312"/>
                <w:kern w:val="0"/>
                <w:sz w:val="20"/>
                <w:szCs w:val="20"/>
              </w:rPr>
              <w:t>分。残疾儿童少年义务教育入学率低于自治区</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个百分点的扣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w:t>
            </w:r>
          </w:p>
        </w:tc>
        <w:tc>
          <w:tcPr>
            <w:tcW w:w="20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69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tc>
        <w:tc>
          <w:tcPr>
            <w:tcW w:w="1260" w:type="dxa"/>
            <w:noWrap w:val="0"/>
            <w:vAlign w:val="center"/>
          </w:tcPr>
          <w:p>
            <w:pPr>
              <w:jc w:val="center"/>
              <w:rPr>
                <w:rFonts w:hint="eastAsia" w:ascii="仿宋_GB2312" w:hAnsi="仿宋_GB2312" w:eastAsia="仿宋_GB2312" w:cs="仿宋_GB2312"/>
                <w:b/>
                <w:bCs/>
                <w:kern w:val="0"/>
                <w:sz w:val="24"/>
              </w:rPr>
            </w:pPr>
          </w:p>
        </w:tc>
      </w:tr>
    </w:tbl>
    <w:p/>
    <w:tbl>
      <w:tblPr>
        <w:tblStyle w:val="3"/>
        <w:tblpPr w:leftFromText="180" w:rightFromText="180" w:vertAnchor="text" w:horzAnchor="page" w:tblpX="1126" w:tblpY="209"/>
        <w:tblOverlap w:val="never"/>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200"/>
        <w:gridCol w:w="3630"/>
        <w:gridCol w:w="675"/>
        <w:gridCol w:w="3280"/>
        <w:gridCol w:w="1508"/>
        <w:gridCol w:w="18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155" w:type="dxa"/>
            <w:noWrap w:val="0"/>
            <w:vAlign w:val="center"/>
          </w:tcPr>
          <w:p>
            <w:pPr>
              <w:jc w:val="center"/>
              <w:textAlignment w:val="center"/>
              <w:rPr>
                <w:rFonts w:ascii="宋体" w:cs="宋体"/>
                <w:b/>
                <w:szCs w:val="21"/>
              </w:rPr>
            </w:pPr>
            <w:r>
              <w:rPr>
                <w:rFonts w:hint="eastAsia" w:ascii="宋体" w:hAnsi="宋体" w:cs="宋体"/>
                <w:b/>
                <w:kern w:val="0"/>
                <w:szCs w:val="21"/>
              </w:rPr>
              <w:t>一级指标</w:t>
            </w:r>
          </w:p>
        </w:tc>
        <w:tc>
          <w:tcPr>
            <w:tcW w:w="1200" w:type="dxa"/>
            <w:noWrap w:val="0"/>
            <w:vAlign w:val="center"/>
          </w:tcPr>
          <w:p>
            <w:pPr>
              <w:jc w:val="center"/>
              <w:textAlignment w:val="center"/>
              <w:rPr>
                <w:rFonts w:ascii="宋体" w:cs="宋体"/>
                <w:b/>
                <w:szCs w:val="21"/>
              </w:rPr>
            </w:pPr>
            <w:r>
              <w:rPr>
                <w:rFonts w:hint="eastAsia" w:ascii="宋体" w:hAnsi="宋体" w:cs="宋体"/>
                <w:b/>
                <w:kern w:val="0"/>
                <w:szCs w:val="21"/>
              </w:rPr>
              <w:t>二级指标</w:t>
            </w:r>
          </w:p>
        </w:tc>
        <w:tc>
          <w:tcPr>
            <w:tcW w:w="3630" w:type="dxa"/>
            <w:noWrap w:val="0"/>
            <w:vAlign w:val="center"/>
          </w:tcPr>
          <w:p>
            <w:pPr>
              <w:ind w:right="-107" w:rightChars="-51"/>
              <w:jc w:val="center"/>
              <w:textAlignment w:val="center"/>
              <w:rPr>
                <w:rFonts w:ascii="宋体" w:cs="宋体"/>
                <w:b/>
                <w:szCs w:val="21"/>
              </w:rPr>
            </w:pPr>
            <w:r>
              <w:rPr>
                <w:rFonts w:hint="eastAsia" w:ascii="宋体" w:hAnsi="宋体" w:cs="宋体"/>
                <w:b/>
                <w:kern w:val="0"/>
                <w:szCs w:val="21"/>
              </w:rPr>
              <w:t>三级指标</w:t>
            </w:r>
          </w:p>
        </w:tc>
        <w:tc>
          <w:tcPr>
            <w:tcW w:w="675" w:type="dxa"/>
            <w:noWrap w:val="0"/>
            <w:vAlign w:val="center"/>
          </w:tcPr>
          <w:p>
            <w:pPr>
              <w:ind w:right="-107" w:rightChars="-51"/>
              <w:textAlignment w:val="center"/>
              <w:rPr>
                <w:rFonts w:ascii="宋体" w:cs="宋体"/>
                <w:b/>
                <w:szCs w:val="21"/>
              </w:rPr>
            </w:pPr>
            <w:r>
              <w:rPr>
                <w:rFonts w:hint="eastAsia" w:ascii="宋体" w:hAnsi="宋体" w:cs="宋体"/>
                <w:b/>
                <w:szCs w:val="21"/>
              </w:rPr>
              <w:t>分值</w:t>
            </w:r>
          </w:p>
        </w:tc>
        <w:tc>
          <w:tcPr>
            <w:tcW w:w="3280" w:type="dxa"/>
            <w:noWrap w:val="0"/>
            <w:vAlign w:val="center"/>
          </w:tcPr>
          <w:p>
            <w:pPr>
              <w:jc w:val="center"/>
              <w:textAlignment w:val="center"/>
              <w:rPr>
                <w:rFonts w:ascii="宋体" w:cs="宋体"/>
                <w:b/>
                <w:kern w:val="0"/>
                <w:szCs w:val="21"/>
              </w:rPr>
            </w:pPr>
            <w:r>
              <w:rPr>
                <w:rFonts w:hint="eastAsia" w:ascii="宋体" w:hAnsi="宋体" w:cs="宋体"/>
                <w:b/>
                <w:szCs w:val="21"/>
              </w:rPr>
              <w:t>评分要点</w:t>
            </w:r>
          </w:p>
        </w:tc>
        <w:tc>
          <w:tcPr>
            <w:tcW w:w="1508"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800"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440"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155" w:type="dxa"/>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A3.</w:t>
            </w:r>
            <w:r>
              <w:rPr>
                <w:rFonts w:hint="eastAsia" w:ascii="仿宋_GB2312" w:hAnsi="宋体" w:eastAsia="仿宋_GB2312" w:cs="仿宋_GB2312"/>
                <w:kern w:val="0"/>
                <w:sz w:val="20"/>
                <w:szCs w:val="20"/>
              </w:rPr>
              <w:t>各级各类教育发展情况（</w:t>
            </w:r>
            <w:r>
              <w:rPr>
                <w:rFonts w:ascii="仿宋_GB2312" w:hAnsi="宋体" w:eastAsia="仿宋_GB2312" w:cs="仿宋_GB2312"/>
                <w:kern w:val="0"/>
                <w:sz w:val="20"/>
                <w:szCs w:val="20"/>
              </w:rPr>
              <w:t>26</w:t>
            </w:r>
            <w:r>
              <w:rPr>
                <w:rFonts w:hint="eastAsia" w:ascii="仿宋_GB2312" w:hAnsi="宋体" w:eastAsia="仿宋_GB2312" w:cs="仿宋_GB2312"/>
                <w:kern w:val="0"/>
                <w:sz w:val="20"/>
                <w:szCs w:val="20"/>
              </w:rPr>
              <w:t>分）</w:t>
            </w:r>
          </w:p>
        </w:tc>
        <w:tc>
          <w:tcPr>
            <w:tcW w:w="1200" w:type="dxa"/>
            <w:noWrap w:val="0"/>
            <w:vAlign w:val="center"/>
          </w:tcPr>
          <w:p>
            <w:pPr>
              <w:jc w:val="center"/>
            </w:pPr>
            <w:r>
              <w:rPr>
                <w:rFonts w:ascii="仿宋_GB2312" w:hAnsi="宋体" w:eastAsia="仿宋_GB2312" w:cs="仿宋_GB2312"/>
                <w:kern w:val="0"/>
                <w:sz w:val="20"/>
                <w:szCs w:val="20"/>
              </w:rPr>
              <w:t>B15.</w:t>
            </w:r>
            <w:r>
              <w:rPr>
                <w:rFonts w:hint="eastAsia" w:ascii="仿宋_GB2312" w:hAnsi="宋体" w:eastAsia="仿宋_GB2312" w:cs="仿宋_GB2312"/>
                <w:kern w:val="0"/>
                <w:sz w:val="20"/>
                <w:szCs w:val="20"/>
              </w:rPr>
              <w:t>保障困难群体受教育权利</w:t>
            </w:r>
          </w:p>
        </w:tc>
        <w:tc>
          <w:tcPr>
            <w:tcW w:w="3630"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C26.</w:t>
            </w:r>
            <w:r>
              <w:rPr>
                <w:rFonts w:hint="eastAsia" w:ascii="仿宋_GB2312" w:hAnsi="宋体" w:eastAsia="仿宋_GB2312" w:cs="仿宋_GB2312"/>
                <w:kern w:val="0"/>
                <w:sz w:val="20"/>
                <w:szCs w:val="20"/>
              </w:rPr>
              <w:t>确定各级教育家庭经济困难学生资助标准，实现家庭经济困难学生资助全覆盖。加强学校心理健康教育工作，切实提高全体学生的心理素质和心理健康水平。</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280" w:type="dxa"/>
            <w:noWrap w:val="0"/>
            <w:vAlign w:val="center"/>
          </w:tcPr>
          <w:p>
            <w:pP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查阅资料、实地核查、走访座谈。家庭经济困难学生资助未做到全覆盖的扣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分，心理健康教育部署落实不力，场地、设施设备不齐全的各扣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508"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县教体局</w:t>
            </w:r>
          </w:p>
        </w:tc>
        <w:tc>
          <w:tcPr>
            <w:tcW w:w="18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 研 室</w:t>
            </w:r>
          </w:p>
        </w:tc>
        <w:tc>
          <w:tcPr>
            <w:tcW w:w="144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1155" w:type="dxa"/>
            <w:vMerge w:val="restart"/>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A4.</w:t>
            </w:r>
            <w:r>
              <w:rPr>
                <w:rFonts w:hint="eastAsia" w:ascii="仿宋_GB2312" w:hAnsi="宋体" w:eastAsia="仿宋_GB2312" w:cs="仿宋_GB2312"/>
                <w:kern w:val="0"/>
                <w:sz w:val="20"/>
                <w:szCs w:val="20"/>
              </w:rPr>
              <w:t>统筹推进教育工作情况（</w:t>
            </w:r>
            <w:r>
              <w:rPr>
                <w:rFonts w:ascii="仿宋_GB2312" w:hAnsi="宋体" w:eastAsia="仿宋_GB2312" w:cs="仿宋_GB2312"/>
                <w:kern w:val="0"/>
                <w:sz w:val="20"/>
                <w:szCs w:val="20"/>
              </w:rPr>
              <w:t>14</w:t>
            </w:r>
            <w:r>
              <w:rPr>
                <w:rFonts w:hint="eastAsia" w:ascii="仿宋_GB2312" w:hAnsi="宋体" w:eastAsia="仿宋_GB2312" w:cs="仿宋_GB2312"/>
                <w:kern w:val="0"/>
                <w:sz w:val="20"/>
                <w:szCs w:val="20"/>
              </w:rPr>
              <w:t>分）</w:t>
            </w:r>
          </w:p>
        </w:tc>
        <w:tc>
          <w:tcPr>
            <w:tcW w:w="120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B16.</w:t>
            </w:r>
            <w:r>
              <w:rPr>
                <w:rFonts w:hint="eastAsia" w:ascii="仿宋_GB2312" w:hAnsi="宋体" w:eastAsia="仿宋_GB2312" w:cs="仿宋_GB2312"/>
                <w:kern w:val="0"/>
                <w:sz w:val="20"/>
                <w:szCs w:val="20"/>
              </w:rPr>
              <w:t>建立教育工作决策管理机制</w:t>
            </w:r>
          </w:p>
        </w:tc>
        <w:tc>
          <w:tcPr>
            <w:tcW w:w="3630"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C27.</w:t>
            </w:r>
            <w:r>
              <w:rPr>
                <w:rStyle w:val="6"/>
                <w:rFonts w:hint="eastAsia" w:hAnsi="宋体" w:cs="仿宋_GB2312"/>
                <w:color w:val="auto"/>
                <w:szCs w:val="20"/>
              </w:rPr>
              <w:t>健全和履行教育重大决策法定程序，建立教育重大决策终身责任追究制度及责任倒查机制。</w:t>
            </w:r>
            <w:r>
              <w:rPr>
                <w:rFonts w:hint="eastAsia" w:ascii="仿宋_GB2312" w:hAnsi="宋体" w:eastAsia="仿宋_GB2312" w:cs="仿宋_GB2312"/>
                <w:kern w:val="0"/>
                <w:sz w:val="20"/>
                <w:szCs w:val="20"/>
              </w:rPr>
              <w:t>在重大教育决策中全面落实公众参与，专家论证、风险评估、合法性审查和集体讨论决定的程序要求，确保决策制度科学、程序正当、过程公开、责任明确。</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280" w:type="dxa"/>
            <w:noWrap w:val="0"/>
            <w:vAlign w:val="center"/>
          </w:tcPr>
          <w:p>
            <w:pP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查阅文件、纪要、总结等资料，实地了解情况。</w:t>
            </w:r>
            <w:r>
              <w:rPr>
                <w:rStyle w:val="6"/>
                <w:rFonts w:hint="eastAsia" w:hAnsi="宋体" w:cs="仿宋_GB2312"/>
                <w:color w:val="auto"/>
                <w:szCs w:val="20"/>
              </w:rPr>
              <w:t>教育重大决策</w:t>
            </w:r>
            <w:r>
              <w:rPr>
                <w:rFonts w:hint="eastAsia" w:ascii="仿宋_GB2312" w:hAnsi="宋体" w:eastAsia="仿宋_GB2312" w:cs="仿宋_GB2312"/>
                <w:kern w:val="0"/>
                <w:sz w:val="20"/>
                <w:szCs w:val="20"/>
              </w:rPr>
              <w:t>未按</w:t>
            </w:r>
            <w:r>
              <w:rPr>
                <w:rStyle w:val="6"/>
                <w:rFonts w:hint="eastAsia" w:hAnsi="宋体" w:cs="仿宋_GB2312"/>
                <w:color w:val="auto"/>
                <w:szCs w:val="20"/>
              </w:rPr>
              <w:t>法定程序的扣</w:t>
            </w:r>
            <w:r>
              <w:rPr>
                <w:rStyle w:val="6"/>
                <w:rFonts w:hAnsi="宋体" w:cs="仿宋_GB2312"/>
                <w:color w:val="auto"/>
                <w:szCs w:val="20"/>
              </w:rPr>
              <w:t>0.2</w:t>
            </w:r>
            <w:r>
              <w:rPr>
                <w:rStyle w:val="6"/>
                <w:rFonts w:hint="eastAsia" w:hAnsi="宋体" w:cs="仿宋_GB2312"/>
                <w:color w:val="auto"/>
                <w:szCs w:val="20"/>
              </w:rPr>
              <w:t>分，未建立教育重大决策终身责任追究制度及责任倒查机制的扣</w:t>
            </w:r>
            <w:r>
              <w:rPr>
                <w:rStyle w:val="6"/>
                <w:rFonts w:hAnsi="宋体" w:cs="仿宋_GB2312"/>
                <w:color w:val="auto"/>
                <w:szCs w:val="20"/>
              </w:rPr>
              <w:t>0.2</w:t>
            </w:r>
            <w:r>
              <w:rPr>
                <w:rStyle w:val="6"/>
                <w:rFonts w:hint="eastAsia" w:hAnsi="宋体" w:cs="仿宋_GB2312"/>
                <w:color w:val="auto"/>
                <w:szCs w:val="20"/>
              </w:rPr>
              <w:t>分。</w:t>
            </w:r>
          </w:p>
        </w:tc>
        <w:tc>
          <w:tcPr>
            <w:tcW w:w="1508"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w:t>
            </w:r>
          </w:p>
        </w:tc>
        <w:tc>
          <w:tcPr>
            <w:tcW w:w="18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办 公 室</w:t>
            </w:r>
          </w:p>
          <w:p>
            <w:pPr>
              <w:jc w:val="center"/>
              <w:rPr>
                <w:rFonts w:hint="eastAsia" w:ascii="宋体" w:cs="宋体"/>
                <w:b/>
                <w:kern w:val="0"/>
                <w:szCs w:val="21"/>
              </w:rPr>
            </w:pPr>
            <w:r>
              <w:rPr>
                <w:rFonts w:hint="eastAsia" w:ascii="仿宋_GB2312" w:hAnsi="仿宋_GB2312" w:eastAsia="仿宋_GB2312" w:cs="仿宋_GB2312"/>
                <w:b/>
                <w:bCs/>
                <w:kern w:val="0"/>
                <w:sz w:val="24"/>
              </w:rPr>
              <w:t>教育工作领导小组</w:t>
            </w:r>
          </w:p>
        </w:tc>
        <w:tc>
          <w:tcPr>
            <w:tcW w:w="144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1155" w:type="dxa"/>
            <w:vMerge w:val="continue"/>
            <w:noWrap w:val="0"/>
            <w:vAlign w:val="center"/>
          </w:tcPr>
          <w:p>
            <w:pPr>
              <w:jc w:val="center"/>
              <w:textAlignment w:val="center"/>
              <w:rPr>
                <w:rFonts w:ascii="宋体" w:cs="宋体"/>
                <w:b/>
                <w:kern w:val="0"/>
                <w:szCs w:val="21"/>
              </w:rPr>
            </w:pPr>
          </w:p>
        </w:tc>
        <w:tc>
          <w:tcPr>
            <w:tcW w:w="120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B17.</w:t>
            </w:r>
            <w:r>
              <w:rPr>
                <w:rFonts w:hint="eastAsia" w:ascii="仿宋_GB2312" w:hAnsi="宋体" w:eastAsia="仿宋_GB2312" w:cs="仿宋_GB2312"/>
                <w:kern w:val="0"/>
                <w:sz w:val="20"/>
                <w:szCs w:val="20"/>
              </w:rPr>
              <w:t>制定教育事业发展规划</w:t>
            </w:r>
          </w:p>
        </w:tc>
        <w:tc>
          <w:tcPr>
            <w:tcW w:w="3630"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C28.</w:t>
            </w:r>
            <w:r>
              <w:rPr>
                <w:rFonts w:hint="eastAsia" w:ascii="仿宋_GB2312" w:hAnsi="宋体" w:eastAsia="仿宋_GB2312" w:cs="仿宋_GB2312"/>
                <w:kern w:val="0"/>
                <w:sz w:val="20"/>
                <w:szCs w:val="20"/>
              </w:rPr>
              <w:t>经济社会发展规划中确保教育优先发展，教育财政资金优先保障教育投入，公共资源优先满足教育和人力资源开发需要。明确各级政府和相关部门在教育规划实施中的工作任务，建立健全规划实施的监测、评估、督察和问责机制。</w:t>
            </w:r>
          </w:p>
        </w:tc>
        <w:tc>
          <w:tcPr>
            <w:tcW w:w="67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280" w:type="dxa"/>
            <w:noWrap w:val="0"/>
            <w:vAlign w:val="center"/>
          </w:tcPr>
          <w:p>
            <w:pPr>
              <w:textAlignment w:val="center"/>
              <w:rPr>
                <w:rFonts w:ascii="仿宋_GB2312" w:hAnsi="宋体" w:eastAsia="仿宋_GB2312" w:cs="仿宋_GB2312"/>
                <w:kern w:val="0"/>
                <w:sz w:val="20"/>
                <w:szCs w:val="20"/>
              </w:rPr>
            </w:pPr>
            <w:r>
              <w:rPr>
                <w:rStyle w:val="6"/>
                <w:rFonts w:hint="eastAsia" w:hAnsi="宋体" w:cs="仿宋_GB2312"/>
                <w:color w:val="auto"/>
                <w:szCs w:val="20"/>
              </w:rPr>
              <w:t>查阅发改、财政、人力资源、编制、建设等部门有关规划、计划、政府工作报告等文件资料。未对教育工作进行规划部署的扣</w:t>
            </w:r>
            <w:r>
              <w:rPr>
                <w:rStyle w:val="6"/>
                <w:rFonts w:hAnsi="宋体" w:cs="仿宋_GB2312"/>
                <w:color w:val="auto"/>
                <w:szCs w:val="20"/>
              </w:rPr>
              <w:t>0.5</w:t>
            </w:r>
            <w:r>
              <w:rPr>
                <w:rStyle w:val="6"/>
                <w:rFonts w:hint="eastAsia" w:hAnsi="宋体" w:cs="仿宋_GB2312"/>
                <w:color w:val="auto"/>
                <w:szCs w:val="20"/>
              </w:rPr>
              <w:t>分</w:t>
            </w:r>
            <w:r>
              <w:rPr>
                <w:rFonts w:hint="eastAsia" w:ascii="仿宋_GB2312" w:hAnsi="宋体" w:eastAsia="仿宋_GB2312" w:cs="仿宋_GB2312"/>
                <w:kern w:val="0"/>
                <w:sz w:val="20"/>
                <w:szCs w:val="20"/>
              </w:rPr>
              <w:t>。</w:t>
            </w:r>
          </w:p>
        </w:tc>
        <w:tc>
          <w:tcPr>
            <w:tcW w:w="1508"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县委编办、县发改局、财政局、住建、人社局、住建局</w:t>
            </w:r>
          </w:p>
        </w:tc>
        <w:tc>
          <w:tcPr>
            <w:tcW w:w="18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p>
            <w:pPr>
              <w:jc w:val="center"/>
              <w:rPr>
                <w:rFonts w:hint="eastAsia"/>
              </w:rPr>
            </w:pPr>
            <w:r>
              <w:rPr>
                <w:rFonts w:hint="eastAsia" w:ascii="仿宋_GB2312" w:hAnsi="仿宋_GB2312" w:eastAsia="仿宋_GB2312" w:cs="仿宋_GB2312"/>
                <w:b/>
                <w:bCs/>
                <w:kern w:val="0"/>
                <w:sz w:val="24"/>
              </w:rPr>
              <w:t>联系、协调发改、财政等相关部门</w:t>
            </w:r>
          </w:p>
        </w:tc>
        <w:tc>
          <w:tcPr>
            <w:tcW w:w="1440" w:type="dxa"/>
            <w:noWrap w:val="0"/>
            <w:vAlign w:val="center"/>
          </w:tcPr>
          <w:p>
            <w:pPr>
              <w:jc w:val="center"/>
              <w:textAlignment w:val="center"/>
              <w:rPr>
                <w:rFonts w:hint="eastAsia" w:ascii="宋体" w:cs="宋体"/>
                <w:b/>
                <w:kern w:val="0"/>
                <w:szCs w:val="21"/>
              </w:rPr>
            </w:pPr>
          </w:p>
        </w:tc>
      </w:tr>
    </w:tbl>
    <w:p/>
    <w:tbl>
      <w:tblPr>
        <w:tblStyle w:val="3"/>
        <w:tblpPr w:leftFromText="180" w:rightFromText="180" w:vertAnchor="text" w:horzAnchor="page" w:tblpX="1111" w:tblpY="-87"/>
        <w:tblOverlap w:val="never"/>
        <w:tblW w:w="15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200"/>
        <w:gridCol w:w="3630"/>
        <w:gridCol w:w="660"/>
        <w:gridCol w:w="3285"/>
        <w:gridCol w:w="1950"/>
        <w:gridCol w:w="185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210" w:type="dxa"/>
            <w:noWrap w:val="0"/>
            <w:vAlign w:val="center"/>
          </w:tcPr>
          <w:p>
            <w:pPr>
              <w:jc w:val="center"/>
              <w:textAlignment w:val="center"/>
              <w:rPr>
                <w:rFonts w:ascii="宋体" w:cs="宋体"/>
                <w:b/>
                <w:szCs w:val="21"/>
              </w:rPr>
            </w:pPr>
            <w:r>
              <w:rPr>
                <w:rFonts w:hint="eastAsia" w:ascii="宋体" w:hAnsi="宋体" w:cs="宋体"/>
                <w:b/>
                <w:kern w:val="0"/>
                <w:szCs w:val="21"/>
              </w:rPr>
              <w:t>一级指标</w:t>
            </w:r>
          </w:p>
        </w:tc>
        <w:tc>
          <w:tcPr>
            <w:tcW w:w="1200" w:type="dxa"/>
            <w:noWrap w:val="0"/>
            <w:vAlign w:val="center"/>
          </w:tcPr>
          <w:p>
            <w:pPr>
              <w:jc w:val="center"/>
              <w:textAlignment w:val="center"/>
              <w:rPr>
                <w:rFonts w:ascii="宋体" w:cs="宋体"/>
                <w:b/>
                <w:szCs w:val="21"/>
              </w:rPr>
            </w:pPr>
            <w:r>
              <w:rPr>
                <w:rFonts w:hint="eastAsia" w:ascii="宋体" w:hAnsi="宋体" w:cs="宋体"/>
                <w:b/>
                <w:kern w:val="0"/>
                <w:szCs w:val="21"/>
              </w:rPr>
              <w:t>二级指标</w:t>
            </w:r>
          </w:p>
        </w:tc>
        <w:tc>
          <w:tcPr>
            <w:tcW w:w="3630" w:type="dxa"/>
            <w:noWrap w:val="0"/>
            <w:vAlign w:val="center"/>
          </w:tcPr>
          <w:p>
            <w:pPr>
              <w:ind w:right="-107" w:rightChars="-51"/>
              <w:jc w:val="center"/>
              <w:textAlignment w:val="center"/>
              <w:rPr>
                <w:rFonts w:ascii="宋体" w:cs="宋体"/>
                <w:b/>
                <w:szCs w:val="21"/>
              </w:rPr>
            </w:pPr>
            <w:r>
              <w:rPr>
                <w:rFonts w:hint="eastAsia" w:ascii="宋体" w:hAnsi="宋体" w:cs="宋体"/>
                <w:b/>
                <w:kern w:val="0"/>
                <w:szCs w:val="21"/>
              </w:rPr>
              <w:t>三级指标</w:t>
            </w:r>
          </w:p>
        </w:tc>
        <w:tc>
          <w:tcPr>
            <w:tcW w:w="660" w:type="dxa"/>
            <w:noWrap w:val="0"/>
            <w:vAlign w:val="center"/>
          </w:tcPr>
          <w:p>
            <w:pPr>
              <w:ind w:right="-107" w:rightChars="-51"/>
              <w:textAlignment w:val="center"/>
              <w:rPr>
                <w:rFonts w:ascii="宋体" w:cs="宋体"/>
                <w:b/>
                <w:szCs w:val="21"/>
              </w:rPr>
            </w:pPr>
            <w:r>
              <w:rPr>
                <w:rFonts w:hint="eastAsia" w:ascii="宋体" w:hAnsi="宋体" w:cs="宋体"/>
                <w:b/>
                <w:szCs w:val="21"/>
              </w:rPr>
              <w:t>分值</w:t>
            </w:r>
          </w:p>
        </w:tc>
        <w:tc>
          <w:tcPr>
            <w:tcW w:w="3285" w:type="dxa"/>
            <w:noWrap w:val="0"/>
            <w:vAlign w:val="center"/>
          </w:tcPr>
          <w:p>
            <w:pPr>
              <w:jc w:val="center"/>
              <w:textAlignment w:val="center"/>
              <w:rPr>
                <w:rFonts w:ascii="宋体" w:cs="宋体"/>
                <w:b/>
                <w:kern w:val="0"/>
                <w:szCs w:val="21"/>
              </w:rPr>
            </w:pPr>
            <w:r>
              <w:rPr>
                <w:rFonts w:hint="eastAsia" w:ascii="宋体" w:hAnsi="宋体" w:cs="宋体"/>
                <w:b/>
                <w:szCs w:val="21"/>
              </w:rPr>
              <w:t>评分要点</w:t>
            </w:r>
          </w:p>
        </w:tc>
        <w:tc>
          <w:tcPr>
            <w:tcW w:w="1950"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853"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440"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10" w:type="dxa"/>
            <w:vMerge w:val="restart"/>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A4.</w:t>
            </w:r>
            <w:r>
              <w:rPr>
                <w:rFonts w:hint="eastAsia" w:ascii="仿宋_GB2312" w:hAnsi="宋体" w:eastAsia="仿宋_GB2312" w:cs="仿宋_GB2312"/>
                <w:kern w:val="0"/>
                <w:sz w:val="20"/>
                <w:szCs w:val="20"/>
              </w:rPr>
              <w:t>统筹推进教育工作情况（</w:t>
            </w:r>
            <w:r>
              <w:rPr>
                <w:rFonts w:ascii="仿宋_GB2312" w:hAnsi="宋体" w:eastAsia="仿宋_GB2312" w:cs="仿宋_GB2312"/>
                <w:kern w:val="0"/>
                <w:sz w:val="20"/>
                <w:szCs w:val="20"/>
              </w:rPr>
              <w:t>14</w:t>
            </w:r>
            <w:r>
              <w:rPr>
                <w:rFonts w:hint="eastAsia" w:ascii="仿宋_GB2312" w:hAnsi="宋体" w:eastAsia="仿宋_GB2312" w:cs="仿宋_GB2312"/>
                <w:kern w:val="0"/>
                <w:sz w:val="20"/>
                <w:szCs w:val="20"/>
              </w:rPr>
              <w:t>分）</w:t>
            </w:r>
          </w:p>
        </w:tc>
        <w:tc>
          <w:tcPr>
            <w:tcW w:w="120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B18.</w:t>
            </w:r>
            <w:r>
              <w:rPr>
                <w:rFonts w:hint="eastAsia" w:ascii="仿宋_GB2312" w:hAnsi="宋体" w:eastAsia="仿宋_GB2312" w:cs="仿宋_GB2312"/>
                <w:kern w:val="0"/>
                <w:sz w:val="20"/>
                <w:szCs w:val="20"/>
              </w:rPr>
              <w:t>优化教育结构和学校布局</w:t>
            </w:r>
          </w:p>
        </w:tc>
        <w:tc>
          <w:tcPr>
            <w:tcW w:w="3630"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C29.</w:t>
            </w:r>
            <w:r>
              <w:rPr>
                <w:rFonts w:hint="eastAsia" w:ascii="仿宋_GB2312" w:hAnsi="宋体" w:eastAsia="仿宋_GB2312" w:cs="仿宋_GB2312"/>
                <w:kern w:val="0"/>
                <w:sz w:val="20"/>
                <w:szCs w:val="20"/>
              </w:rPr>
              <w:t>制定统筹协调各级各类教育的改革发展的政策措施，推进教育结构优化。以县为基础，建立健全与常住人口变化趋势和空间布局相适应的城乡学校布局建设机制。教育行政部门纳入县级城乡规委会成员单位。</w:t>
            </w:r>
          </w:p>
        </w:tc>
        <w:tc>
          <w:tcPr>
            <w:tcW w:w="66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285" w:type="dxa"/>
            <w:noWrap w:val="0"/>
            <w:vAlign w:val="center"/>
          </w:tcPr>
          <w:p>
            <w:pP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w:t>
            </w:r>
            <w:r>
              <w:rPr>
                <w:rStyle w:val="6"/>
                <w:rFonts w:hint="eastAsia" w:hAnsi="宋体" w:cs="仿宋_GB2312"/>
                <w:color w:val="auto"/>
                <w:szCs w:val="20"/>
              </w:rPr>
              <w:t>发改、财政、人力资源、编制、建设等部门</w:t>
            </w:r>
            <w:r>
              <w:rPr>
                <w:rFonts w:hint="eastAsia" w:ascii="仿宋_GB2312" w:hAnsi="宋体" w:eastAsia="仿宋_GB2312" w:cs="仿宋_GB2312"/>
                <w:kern w:val="0"/>
                <w:sz w:val="20"/>
                <w:szCs w:val="20"/>
              </w:rPr>
              <w:t>有关规划、学校布局图、文件等资料，个别访谈。没有制定统筹推进各类教育的政策措施扣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分；没有教育布局规划的扣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分；教育行政部门未列入规委会成员的扣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95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县委编办、县发改局、财政局、住建局、人社局</w:t>
            </w:r>
          </w:p>
        </w:tc>
        <w:tc>
          <w:tcPr>
            <w:tcW w:w="185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教育工作领导小组</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tc>
        <w:tc>
          <w:tcPr>
            <w:tcW w:w="144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10" w:type="dxa"/>
            <w:vMerge w:val="continue"/>
            <w:noWrap w:val="0"/>
            <w:vAlign w:val="center"/>
          </w:tcPr>
          <w:p>
            <w:pPr>
              <w:jc w:val="center"/>
              <w:textAlignment w:val="center"/>
              <w:rPr>
                <w:rFonts w:ascii="宋体" w:cs="宋体"/>
                <w:b/>
                <w:kern w:val="0"/>
                <w:szCs w:val="21"/>
              </w:rPr>
            </w:pPr>
          </w:p>
        </w:tc>
        <w:tc>
          <w:tcPr>
            <w:tcW w:w="1200" w:type="dxa"/>
            <w:vMerge w:val="restart"/>
            <w:noWrap w:val="0"/>
            <w:vAlign w:val="center"/>
          </w:tcPr>
          <w:p>
            <w:pPr>
              <w:jc w:val="center"/>
              <w:textAlignment w:val="center"/>
            </w:pPr>
            <w:r>
              <w:rPr>
                <w:rFonts w:ascii="仿宋_GB2312" w:hAnsi="宋体" w:eastAsia="仿宋_GB2312" w:cs="仿宋_GB2312"/>
                <w:kern w:val="0"/>
                <w:sz w:val="20"/>
                <w:szCs w:val="20"/>
              </w:rPr>
              <w:t>B19.</w:t>
            </w:r>
            <w:r>
              <w:rPr>
                <w:rFonts w:hint="eastAsia" w:ascii="仿宋_GB2312" w:hAnsi="宋体" w:eastAsia="仿宋_GB2312" w:cs="仿宋_GB2312"/>
                <w:kern w:val="0"/>
                <w:sz w:val="20"/>
                <w:szCs w:val="20"/>
              </w:rPr>
              <w:t>强化教育督导</w:t>
            </w:r>
          </w:p>
        </w:tc>
        <w:tc>
          <w:tcPr>
            <w:tcW w:w="3630"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 xml:space="preserve">C30. </w:t>
            </w:r>
            <w:r>
              <w:rPr>
                <w:rFonts w:hint="eastAsia" w:ascii="仿宋_GB2312" w:hAnsi="宋体" w:eastAsia="仿宋_GB2312" w:cs="仿宋_GB2312"/>
                <w:kern w:val="0"/>
                <w:sz w:val="20"/>
                <w:szCs w:val="20"/>
              </w:rPr>
              <w:t>成立县（市、区）人民政府教育督导委员会，有专门的教育督导工作机构，能够独立行使教育督导职能，按机构编制核定的人数配齐配强督导人员，能够满足日常工作需要。</w:t>
            </w:r>
          </w:p>
        </w:tc>
        <w:tc>
          <w:tcPr>
            <w:tcW w:w="66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285" w:type="dxa"/>
            <w:noWrap w:val="0"/>
            <w:vAlign w:val="center"/>
          </w:tcPr>
          <w:p>
            <w:r>
              <w:rPr>
                <w:rFonts w:hint="eastAsia" w:ascii="仿宋_GB2312" w:hAnsi="宋体" w:eastAsia="仿宋_GB2312" w:cs="仿宋_GB2312"/>
                <w:kern w:val="0"/>
                <w:sz w:val="20"/>
                <w:szCs w:val="20"/>
              </w:rPr>
              <w:t>查阅档案资料，实地调研核实。其中没有成立县（市、区）人民教育督导委员会的扣</w:t>
            </w:r>
            <w:r>
              <w:rPr>
                <w:rFonts w:ascii="仿宋_GB2312" w:hAnsi="宋体" w:eastAsia="仿宋_GB2312" w:cs="仿宋_GB2312"/>
                <w:kern w:val="0"/>
                <w:sz w:val="20"/>
                <w:szCs w:val="20"/>
              </w:rPr>
              <w:t>0.5</w:t>
            </w:r>
            <w:r>
              <w:rPr>
                <w:rFonts w:hint="eastAsia" w:ascii="仿宋_GB2312" w:hAnsi="宋体" w:eastAsia="仿宋_GB2312" w:cs="仿宋_GB2312"/>
                <w:kern w:val="0"/>
                <w:sz w:val="20"/>
                <w:szCs w:val="20"/>
              </w:rPr>
              <w:t>分，没有专门教育督导工作机构和落实人员编制的各扣</w:t>
            </w:r>
            <w:r>
              <w:rPr>
                <w:rFonts w:ascii="仿宋_GB2312" w:hAnsi="宋体" w:eastAsia="仿宋_GB2312" w:cs="仿宋_GB2312"/>
                <w:kern w:val="0"/>
                <w:sz w:val="20"/>
                <w:szCs w:val="20"/>
              </w:rPr>
              <w:t>0.5</w:t>
            </w:r>
            <w:r>
              <w:rPr>
                <w:rFonts w:hint="eastAsia" w:ascii="仿宋_GB2312" w:hAnsi="宋体" w:eastAsia="仿宋_GB2312" w:cs="仿宋_GB2312"/>
                <w:kern w:val="0"/>
                <w:sz w:val="20"/>
                <w:szCs w:val="20"/>
              </w:rPr>
              <w:t>分。</w:t>
            </w:r>
          </w:p>
        </w:tc>
        <w:tc>
          <w:tcPr>
            <w:tcW w:w="195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县委编办、县教育工作领导小组、教体局、</w:t>
            </w:r>
          </w:p>
        </w:tc>
        <w:tc>
          <w:tcPr>
            <w:tcW w:w="185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教育督导室</w:t>
            </w:r>
          </w:p>
        </w:tc>
        <w:tc>
          <w:tcPr>
            <w:tcW w:w="144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210" w:type="dxa"/>
            <w:vMerge w:val="continue"/>
            <w:noWrap w:val="0"/>
            <w:vAlign w:val="center"/>
          </w:tcPr>
          <w:p>
            <w:pPr>
              <w:jc w:val="center"/>
              <w:textAlignment w:val="center"/>
              <w:rPr>
                <w:rFonts w:ascii="宋体" w:cs="宋体"/>
                <w:b/>
                <w:kern w:val="0"/>
                <w:szCs w:val="21"/>
              </w:rPr>
            </w:pPr>
          </w:p>
        </w:tc>
        <w:tc>
          <w:tcPr>
            <w:tcW w:w="1200" w:type="dxa"/>
            <w:vMerge w:val="continue"/>
            <w:noWrap w:val="0"/>
            <w:vAlign w:val="center"/>
          </w:tcPr>
          <w:p>
            <w:pPr>
              <w:jc w:val="center"/>
              <w:textAlignment w:val="center"/>
              <w:rPr>
                <w:rFonts w:ascii="宋体" w:cs="宋体"/>
                <w:b/>
                <w:kern w:val="0"/>
                <w:szCs w:val="21"/>
              </w:rPr>
            </w:pPr>
          </w:p>
        </w:tc>
        <w:tc>
          <w:tcPr>
            <w:tcW w:w="3630"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C31.</w:t>
            </w:r>
            <w:r>
              <w:rPr>
                <w:rFonts w:hint="eastAsia" w:ascii="仿宋_GB2312" w:hAnsi="宋体" w:eastAsia="仿宋_GB2312" w:cs="仿宋_GB2312"/>
                <w:kern w:val="0"/>
                <w:sz w:val="20"/>
                <w:szCs w:val="20"/>
              </w:rPr>
              <w:t>县（市、区）教育督导工作经费列入财政预算，落实督导队伍编制标准，加强督学队伍建设，督学参与督导活动补助得到落实。加强自治区教育督导信息平台系统应用，提高教育督导质量。</w:t>
            </w:r>
          </w:p>
        </w:tc>
        <w:tc>
          <w:tcPr>
            <w:tcW w:w="66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285" w:type="dxa"/>
            <w:noWrap w:val="0"/>
            <w:vAlign w:val="center"/>
          </w:tcPr>
          <w:p>
            <w:pPr>
              <w:spacing w:line="260" w:lineRule="exact"/>
            </w:pPr>
            <w:r>
              <w:rPr>
                <w:rFonts w:hint="eastAsia" w:ascii="仿宋_GB2312" w:hAnsi="宋体" w:eastAsia="仿宋_GB2312" w:cs="仿宋_GB2312"/>
                <w:kern w:val="0"/>
                <w:sz w:val="20"/>
                <w:szCs w:val="20"/>
              </w:rPr>
              <w:t>查阅编制、财政、人力资源等部门有关资料，实地调研核实。经费未列入财政预算的扣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分；未落实编制、督学参与督导活动补助的各扣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分；自治区教育督导信息平台系统管理不规范的扣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95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县委编办、县财政局、人社局、住建局、县教育工作领导小组</w:t>
            </w:r>
          </w:p>
        </w:tc>
        <w:tc>
          <w:tcPr>
            <w:tcW w:w="185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教育督导室</w:t>
            </w:r>
          </w:p>
        </w:tc>
        <w:tc>
          <w:tcPr>
            <w:tcW w:w="144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210" w:type="dxa"/>
            <w:vMerge w:val="continue"/>
            <w:noWrap w:val="0"/>
            <w:vAlign w:val="center"/>
          </w:tcPr>
          <w:p>
            <w:pPr>
              <w:jc w:val="center"/>
              <w:textAlignment w:val="center"/>
              <w:rPr>
                <w:rFonts w:ascii="宋体" w:cs="宋体"/>
                <w:b/>
                <w:kern w:val="0"/>
                <w:szCs w:val="21"/>
              </w:rPr>
            </w:pPr>
          </w:p>
        </w:tc>
        <w:tc>
          <w:tcPr>
            <w:tcW w:w="1200" w:type="dxa"/>
            <w:vMerge w:val="continue"/>
            <w:noWrap w:val="0"/>
            <w:vAlign w:val="center"/>
          </w:tcPr>
          <w:p>
            <w:pPr>
              <w:jc w:val="center"/>
              <w:textAlignment w:val="center"/>
              <w:rPr>
                <w:rFonts w:ascii="宋体" w:cs="宋体"/>
                <w:b/>
                <w:kern w:val="0"/>
                <w:szCs w:val="21"/>
              </w:rPr>
            </w:pPr>
          </w:p>
        </w:tc>
        <w:tc>
          <w:tcPr>
            <w:tcW w:w="3630"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C32.</w:t>
            </w:r>
            <w:r>
              <w:rPr>
                <w:rFonts w:hint="eastAsia" w:ascii="仿宋_GB2312" w:hAnsi="宋体" w:eastAsia="仿宋_GB2312" w:cs="仿宋_GB2312"/>
                <w:kern w:val="0"/>
                <w:sz w:val="20"/>
                <w:szCs w:val="20"/>
              </w:rPr>
              <w:t>有效开展教育督导工作，学校评估、督学队伍建设、督学责任区建设和专项督导等工作成效明显。</w:t>
            </w:r>
          </w:p>
        </w:tc>
        <w:tc>
          <w:tcPr>
            <w:tcW w:w="66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285" w:type="dxa"/>
            <w:noWrap w:val="0"/>
            <w:vAlign w:val="center"/>
          </w:tcPr>
          <w:p>
            <w:pPr>
              <w:spacing w:line="260" w:lineRule="exact"/>
            </w:pPr>
            <w:r>
              <w:rPr>
                <w:rFonts w:hint="eastAsia" w:ascii="仿宋_GB2312" w:hAnsi="宋体" w:eastAsia="仿宋_GB2312" w:cs="仿宋_GB2312"/>
                <w:kern w:val="0"/>
                <w:sz w:val="20"/>
                <w:szCs w:val="20"/>
              </w:rPr>
              <w:t>查阅档案资料，实地调研核实。学校评估、督学队伍建设、督学责任区建设和专项督导等工作成效不明显的各扣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95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县教体局</w:t>
            </w:r>
          </w:p>
        </w:tc>
        <w:tc>
          <w:tcPr>
            <w:tcW w:w="185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教育督导室</w:t>
            </w:r>
          </w:p>
        </w:tc>
        <w:tc>
          <w:tcPr>
            <w:tcW w:w="1440" w:type="dxa"/>
            <w:noWrap w:val="0"/>
            <w:vAlign w:val="center"/>
          </w:tcPr>
          <w:p>
            <w:pPr>
              <w:jc w:val="center"/>
              <w:rPr>
                <w:rFonts w:hint="eastAsia" w:ascii="仿宋_GB2312" w:hAnsi="仿宋_GB2312" w:eastAsia="仿宋_GB2312" w:cs="仿宋_GB2312"/>
                <w:b/>
                <w:bCs/>
                <w:kern w:val="0"/>
                <w:sz w:val="24"/>
              </w:rPr>
            </w:pPr>
          </w:p>
        </w:tc>
      </w:tr>
    </w:tbl>
    <w:tbl>
      <w:tblPr>
        <w:tblStyle w:val="3"/>
        <w:tblpPr w:leftFromText="180" w:rightFromText="180" w:vertAnchor="text" w:horzAnchor="page" w:tblpX="1141" w:tblpY="-13"/>
        <w:tblOverlap w:val="never"/>
        <w:tblW w:w="14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170"/>
        <w:gridCol w:w="3735"/>
        <w:gridCol w:w="690"/>
        <w:gridCol w:w="3340"/>
        <w:gridCol w:w="1763"/>
        <w:gridCol w:w="1794"/>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10" w:type="dxa"/>
            <w:noWrap w:val="0"/>
            <w:vAlign w:val="center"/>
          </w:tcPr>
          <w:p>
            <w:pPr>
              <w:jc w:val="center"/>
              <w:textAlignment w:val="center"/>
              <w:rPr>
                <w:rFonts w:ascii="宋体" w:cs="宋体"/>
                <w:b/>
                <w:szCs w:val="21"/>
              </w:rPr>
            </w:pPr>
            <w:r>
              <w:rPr>
                <w:rFonts w:hint="eastAsia" w:ascii="宋体" w:hAnsi="宋体" w:cs="宋体"/>
                <w:b/>
                <w:kern w:val="0"/>
                <w:szCs w:val="21"/>
              </w:rPr>
              <w:t>一级指标</w:t>
            </w:r>
          </w:p>
        </w:tc>
        <w:tc>
          <w:tcPr>
            <w:tcW w:w="1170" w:type="dxa"/>
            <w:noWrap w:val="0"/>
            <w:vAlign w:val="center"/>
          </w:tcPr>
          <w:p>
            <w:pPr>
              <w:jc w:val="center"/>
              <w:textAlignment w:val="center"/>
              <w:rPr>
                <w:rFonts w:ascii="宋体" w:cs="宋体"/>
                <w:b/>
                <w:szCs w:val="21"/>
              </w:rPr>
            </w:pPr>
            <w:r>
              <w:rPr>
                <w:rFonts w:hint="eastAsia" w:ascii="宋体" w:hAnsi="宋体" w:cs="宋体"/>
                <w:b/>
                <w:kern w:val="0"/>
                <w:szCs w:val="21"/>
              </w:rPr>
              <w:t>二级指标</w:t>
            </w:r>
          </w:p>
        </w:tc>
        <w:tc>
          <w:tcPr>
            <w:tcW w:w="3735" w:type="dxa"/>
            <w:noWrap w:val="0"/>
            <w:vAlign w:val="center"/>
          </w:tcPr>
          <w:p>
            <w:pPr>
              <w:ind w:right="-107" w:rightChars="-51"/>
              <w:jc w:val="center"/>
              <w:textAlignment w:val="center"/>
              <w:rPr>
                <w:rFonts w:ascii="宋体" w:cs="宋体"/>
                <w:b/>
                <w:szCs w:val="21"/>
              </w:rPr>
            </w:pPr>
            <w:r>
              <w:rPr>
                <w:rFonts w:hint="eastAsia" w:ascii="宋体" w:hAnsi="宋体" w:cs="宋体"/>
                <w:b/>
                <w:kern w:val="0"/>
                <w:szCs w:val="21"/>
              </w:rPr>
              <w:t>三级指标</w:t>
            </w:r>
          </w:p>
        </w:tc>
        <w:tc>
          <w:tcPr>
            <w:tcW w:w="690" w:type="dxa"/>
            <w:noWrap w:val="0"/>
            <w:vAlign w:val="center"/>
          </w:tcPr>
          <w:p>
            <w:pPr>
              <w:ind w:right="-107" w:rightChars="-51"/>
              <w:textAlignment w:val="center"/>
              <w:rPr>
                <w:rFonts w:ascii="宋体" w:cs="宋体"/>
                <w:b/>
                <w:szCs w:val="21"/>
              </w:rPr>
            </w:pPr>
            <w:r>
              <w:rPr>
                <w:rFonts w:hint="eastAsia" w:ascii="宋体" w:hAnsi="宋体" w:cs="宋体"/>
                <w:b/>
                <w:szCs w:val="21"/>
              </w:rPr>
              <w:t>分值</w:t>
            </w:r>
          </w:p>
        </w:tc>
        <w:tc>
          <w:tcPr>
            <w:tcW w:w="3340" w:type="dxa"/>
            <w:noWrap w:val="0"/>
            <w:vAlign w:val="center"/>
          </w:tcPr>
          <w:p>
            <w:pPr>
              <w:jc w:val="center"/>
              <w:textAlignment w:val="center"/>
              <w:rPr>
                <w:rFonts w:ascii="宋体" w:cs="宋体"/>
                <w:b/>
                <w:kern w:val="0"/>
                <w:szCs w:val="21"/>
              </w:rPr>
            </w:pPr>
            <w:r>
              <w:rPr>
                <w:rFonts w:hint="eastAsia" w:ascii="宋体" w:hAnsi="宋体" w:cs="宋体"/>
                <w:b/>
                <w:szCs w:val="21"/>
              </w:rPr>
              <w:t>评分要点</w:t>
            </w:r>
          </w:p>
        </w:tc>
        <w:tc>
          <w:tcPr>
            <w:tcW w:w="1763"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794"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266"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1110" w:type="dxa"/>
            <w:vMerge w:val="restart"/>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A5.</w:t>
            </w:r>
            <w:r>
              <w:rPr>
                <w:rFonts w:hint="eastAsia" w:ascii="仿宋_GB2312" w:hAnsi="宋体" w:eastAsia="仿宋_GB2312" w:cs="仿宋_GB2312"/>
                <w:kern w:val="0"/>
                <w:sz w:val="20"/>
                <w:szCs w:val="20"/>
              </w:rPr>
              <w:t>加强教育保障情况（</w:t>
            </w:r>
            <w:r>
              <w:rPr>
                <w:rFonts w:ascii="仿宋_GB2312" w:hAnsi="宋体" w:eastAsia="仿宋_GB2312" w:cs="仿宋_GB2312"/>
                <w:kern w:val="0"/>
                <w:sz w:val="20"/>
                <w:szCs w:val="20"/>
              </w:rPr>
              <w:t>22</w:t>
            </w:r>
            <w:r>
              <w:rPr>
                <w:rFonts w:hint="eastAsia" w:ascii="仿宋_GB2312" w:hAnsi="宋体" w:eastAsia="仿宋_GB2312" w:cs="仿宋_GB2312"/>
                <w:kern w:val="0"/>
                <w:sz w:val="20"/>
                <w:szCs w:val="20"/>
              </w:rPr>
              <w:t>分）</w:t>
            </w:r>
          </w:p>
        </w:tc>
        <w:tc>
          <w:tcPr>
            <w:tcW w:w="1170" w:type="dxa"/>
            <w:vMerge w:val="restart"/>
            <w:noWrap w:val="0"/>
            <w:vAlign w:val="center"/>
          </w:tcPr>
          <w:p>
            <w:pPr>
              <w:jc w:val="center"/>
              <w:textAlignment w:val="center"/>
            </w:pPr>
            <w:r>
              <w:rPr>
                <w:rFonts w:ascii="仿宋_GB2312" w:hAnsi="宋体" w:eastAsia="仿宋_GB2312" w:cs="仿宋_GB2312"/>
                <w:kern w:val="0"/>
                <w:sz w:val="20"/>
                <w:szCs w:val="20"/>
              </w:rPr>
              <w:t>B20.</w:t>
            </w:r>
            <w:r>
              <w:rPr>
                <w:rFonts w:hint="eastAsia" w:ascii="仿宋_GB2312" w:hAnsi="宋体" w:eastAsia="仿宋_GB2312" w:cs="仿宋_GB2312"/>
                <w:kern w:val="0"/>
                <w:sz w:val="20"/>
                <w:szCs w:val="20"/>
              </w:rPr>
              <w:t>落实教育投入</w:t>
            </w:r>
          </w:p>
        </w:tc>
        <w:tc>
          <w:tcPr>
            <w:tcW w:w="373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C33.</w:t>
            </w:r>
            <w:r>
              <w:rPr>
                <w:rFonts w:hint="eastAsia" w:ascii="仿宋_GB2312" w:hAnsi="宋体" w:eastAsia="仿宋_GB2312" w:cs="仿宋_GB2312"/>
                <w:kern w:val="0"/>
                <w:sz w:val="20"/>
                <w:szCs w:val="20"/>
              </w:rPr>
              <w:t>依法落实政府财政教育支出责任，确保一般公共预算教育支出只增不减，确保按在校学生人数平均的一般公共预算教育支出只增不减。</w:t>
            </w:r>
          </w:p>
        </w:tc>
        <w:tc>
          <w:tcPr>
            <w:tcW w:w="69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340" w:type="dxa"/>
            <w:noWrap w:val="0"/>
            <w:vAlign w:val="center"/>
          </w:tcPr>
          <w:p>
            <w:pPr>
              <w:spacing w:line="260" w:lineRule="exact"/>
            </w:pPr>
            <w:r>
              <w:rPr>
                <w:rFonts w:hint="eastAsia" w:ascii="仿宋_GB2312" w:hAnsi="宋体" w:eastAsia="仿宋_GB2312" w:cs="仿宋_GB2312"/>
                <w:kern w:val="0"/>
                <w:sz w:val="20"/>
                <w:szCs w:val="20"/>
              </w:rPr>
              <w:t>查阅财政部门相关资料、实地核查、走访座谈。政府财政教育支出责任落实不力，财政教育投入同比减少幅度每低</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个百分点扣</w:t>
            </w:r>
            <w:r>
              <w:rPr>
                <w:rFonts w:ascii="仿宋_GB2312" w:hAnsi="宋体" w:eastAsia="仿宋_GB2312" w:cs="仿宋_GB2312"/>
                <w:kern w:val="0"/>
                <w:sz w:val="20"/>
                <w:szCs w:val="20"/>
              </w:rPr>
              <w:t>0.6</w:t>
            </w:r>
            <w:r>
              <w:rPr>
                <w:rFonts w:hint="eastAsia" w:ascii="仿宋_GB2312" w:hAnsi="宋体" w:eastAsia="仿宋_GB2312" w:cs="仿宋_GB2312"/>
                <w:kern w:val="0"/>
                <w:sz w:val="20"/>
                <w:szCs w:val="20"/>
              </w:rPr>
              <w:t>分；一般公共预算教育支出未达到增长要求的扣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分；生均一般公共预算教育支出未达到增长要求的扣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7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县财政局、</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教体局</w:t>
            </w:r>
          </w:p>
        </w:tc>
        <w:tc>
          <w:tcPr>
            <w:tcW w:w="179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计财审计室</w:t>
            </w:r>
          </w:p>
          <w:p>
            <w:pPr>
              <w:jc w:val="center"/>
              <w:rPr>
                <w:rFonts w:hint="eastAsia" w:ascii="仿宋_GB2312" w:hAnsi="仿宋_GB2312" w:eastAsia="仿宋_GB2312" w:cs="仿宋_GB2312"/>
                <w:b/>
                <w:bCs/>
                <w:kern w:val="0"/>
                <w:sz w:val="24"/>
              </w:rPr>
            </w:pPr>
          </w:p>
        </w:tc>
        <w:tc>
          <w:tcPr>
            <w:tcW w:w="1266"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10" w:type="dxa"/>
            <w:vMerge w:val="continue"/>
            <w:noWrap w:val="0"/>
            <w:vAlign w:val="center"/>
          </w:tcPr>
          <w:p>
            <w:pPr>
              <w:jc w:val="center"/>
              <w:textAlignment w:val="center"/>
              <w:rPr>
                <w:rFonts w:ascii="宋体" w:cs="宋体"/>
                <w:b/>
                <w:kern w:val="0"/>
                <w:szCs w:val="21"/>
              </w:rPr>
            </w:pPr>
          </w:p>
        </w:tc>
        <w:tc>
          <w:tcPr>
            <w:tcW w:w="1170" w:type="dxa"/>
            <w:vMerge w:val="continue"/>
            <w:noWrap w:val="0"/>
            <w:vAlign w:val="center"/>
          </w:tcPr>
          <w:p>
            <w:pPr>
              <w:jc w:val="center"/>
            </w:pPr>
          </w:p>
        </w:tc>
        <w:tc>
          <w:tcPr>
            <w:tcW w:w="373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C34.</w:t>
            </w:r>
            <w:r>
              <w:rPr>
                <w:rFonts w:hint="eastAsia" w:ascii="仿宋_GB2312" w:hAnsi="宋体" w:eastAsia="仿宋_GB2312" w:cs="仿宋_GB2312"/>
                <w:kern w:val="0"/>
                <w:sz w:val="20"/>
                <w:szCs w:val="20"/>
              </w:rPr>
              <w:t>建立完善各级各类学校生均公用经费拨款制度，且生均公用经费标准不低于自治区标准。完善学生资助体系，健全资助制度，足额落实资助资金。</w:t>
            </w:r>
          </w:p>
        </w:tc>
        <w:tc>
          <w:tcPr>
            <w:tcW w:w="69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340" w:type="dxa"/>
            <w:noWrap w:val="0"/>
            <w:vAlign w:val="center"/>
          </w:tcPr>
          <w:p>
            <w:pPr>
              <w:spacing w:line="260" w:lineRule="exact"/>
            </w:pPr>
            <w:r>
              <w:rPr>
                <w:rFonts w:hint="eastAsia" w:ascii="仿宋_GB2312" w:hAnsi="宋体" w:eastAsia="仿宋_GB2312" w:cs="仿宋_GB2312"/>
                <w:kern w:val="0"/>
                <w:sz w:val="20"/>
                <w:szCs w:val="20"/>
              </w:rPr>
              <w:t>查阅资料、实地核查、走访座谈。未制定相关政策文件和制度的扣</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分，未达到生均公用经费拨款标准的扣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7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财政局</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教体局</w:t>
            </w:r>
          </w:p>
        </w:tc>
        <w:tc>
          <w:tcPr>
            <w:tcW w:w="179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计财审计室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tc>
        <w:tc>
          <w:tcPr>
            <w:tcW w:w="1266"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110" w:type="dxa"/>
            <w:vMerge w:val="continue"/>
            <w:noWrap w:val="0"/>
            <w:vAlign w:val="center"/>
          </w:tcPr>
          <w:p>
            <w:pPr>
              <w:jc w:val="center"/>
              <w:textAlignment w:val="center"/>
              <w:rPr>
                <w:rFonts w:ascii="宋体" w:cs="宋体"/>
                <w:b/>
                <w:kern w:val="0"/>
                <w:szCs w:val="21"/>
              </w:rPr>
            </w:pPr>
          </w:p>
        </w:tc>
        <w:tc>
          <w:tcPr>
            <w:tcW w:w="1170" w:type="dxa"/>
            <w:vMerge w:val="restart"/>
            <w:noWrap w:val="0"/>
            <w:vAlign w:val="center"/>
          </w:tcPr>
          <w:p>
            <w:pPr>
              <w:jc w:val="center"/>
            </w:pPr>
            <w:r>
              <w:rPr>
                <w:rFonts w:ascii="仿宋_GB2312" w:hAnsi="宋体" w:eastAsia="仿宋_GB2312" w:cs="仿宋_GB2312"/>
                <w:kern w:val="0"/>
                <w:sz w:val="20"/>
                <w:szCs w:val="20"/>
              </w:rPr>
              <w:t>B21.</w:t>
            </w:r>
            <w:r>
              <w:rPr>
                <w:rFonts w:hint="eastAsia" w:ascii="仿宋_GB2312" w:hAnsi="宋体" w:eastAsia="仿宋_GB2312" w:cs="仿宋_GB2312"/>
                <w:kern w:val="0"/>
                <w:sz w:val="20"/>
                <w:szCs w:val="20"/>
              </w:rPr>
              <w:t>加强教师队伍建设</w:t>
            </w:r>
          </w:p>
        </w:tc>
        <w:tc>
          <w:tcPr>
            <w:tcW w:w="373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C35.</w:t>
            </w:r>
            <w:r>
              <w:rPr>
                <w:rFonts w:hint="eastAsia" w:ascii="仿宋_GB2312" w:hAnsi="宋体" w:eastAsia="仿宋_GB2312" w:cs="仿宋_GB2312"/>
                <w:kern w:val="0"/>
                <w:sz w:val="20"/>
                <w:szCs w:val="20"/>
              </w:rPr>
              <w:t>加强师德师风建设，认真落实《新时代中小学教师职业行为十项准则》等政策规定，引导教师做“四有”好老师、“四个引路人”。</w:t>
            </w:r>
          </w:p>
        </w:tc>
        <w:tc>
          <w:tcPr>
            <w:tcW w:w="69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340" w:type="dxa"/>
            <w:noWrap w:val="0"/>
            <w:vAlign w:val="center"/>
          </w:tcPr>
          <w:p>
            <w:pPr>
              <w:spacing w:line="26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查阅有关资料，实地考察学校，县域内每发现</w:t>
            </w: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起严重违反《十项准则》的事件扣</w:t>
            </w:r>
            <w:r>
              <w:rPr>
                <w:rFonts w:ascii="仿宋_GB2312" w:hAnsi="宋体" w:eastAsia="仿宋_GB2312" w:cs="仿宋_GB2312"/>
                <w:kern w:val="0"/>
                <w:sz w:val="20"/>
                <w:szCs w:val="20"/>
              </w:rPr>
              <w:t>0.5</w:t>
            </w:r>
            <w:r>
              <w:rPr>
                <w:rFonts w:hint="eastAsia" w:ascii="仿宋_GB2312" w:hAnsi="宋体" w:eastAsia="仿宋_GB2312" w:cs="仿宋_GB2312"/>
                <w:kern w:val="0"/>
                <w:sz w:val="20"/>
                <w:szCs w:val="20"/>
              </w:rPr>
              <w:t>分，扣完为止。</w:t>
            </w:r>
          </w:p>
        </w:tc>
        <w:tc>
          <w:tcPr>
            <w:tcW w:w="17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教体局</w:t>
            </w:r>
          </w:p>
        </w:tc>
        <w:tc>
          <w:tcPr>
            <w:tcW w:w="179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组织纪检室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 研 室</w:t>
            </w:r>
          </w:p>
        </w:tc>
        <w:tc>
          <w:tcPr>
            <w:tcW w:w="1266"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10" w:type="dxa"/>
            <w:vMerge w:val="continue"/>
            <w:noWrap w:val="0"/>
            <w:vAlign w:val="center"/>
          </w:tcPr>
          <w:p>
            <w:pPr>
              <w:jc w:val="center"/>
              <w:textAlignment w:val="center"/>
              <w:rPr>
                <w:rFonts w:ascii="宋体" w:cs="宋体"/>
                <w:b/>
                <w:kern w:val="0"/>
                <w:szCs w:val="21"/>
              </w:rPr>
            </w:pPr>
          </w:p>
        </w:tc>
        <w:tc>
          <w:tcPr>
            <w:tcW w:w="1170" w:type="dxa"/>
            <w:vMerge w:val="continue"/>
            <w:noWrap w:val="0"/>
            <w:vAlign w:val="center"/>
          </w:tcPr>
          <w:p>
            <w:pPr>
              <w:jc w:val="center"/>
              <w:textAlignment w:val="center"/>
              <w:rPr>
                <w:rFonts w:ascii="宋体" w:cs="宋体"/>
                <w:b/>
                <w:kern w:val="0"/>
                <w:szCs w:val="21"/>
              </w:rPr>
            </w:pPr>
          </w:p>
        </w:tc>
        <w:tc>
          <w:tcPr>
            <w:tcW w:w="373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C36.</w:t>
            </w:r>
            <w:r>
              <w:rPr>
                <w:rFonts w:hint="eastAsia" w:ascii="仿宋_GB2312" w:hAnsi="宋体" w:eastAsia="仿宋_GB2312" w:cs="仿宋_GB2312"/>
                <w:kern w:val="0"/>
                <w:sz w:val="20"/>
                <w:szCs w:val="20"/>
              </w:rPr>
              <w:t>建立中小学教师编制动态管理机制情况。建立教师补充招聘机制，采取多种形式增加教师总量，严禁有编不补。建立义务教育学校校长、教师交流轮岗制度，年交流轮岗达到自治区规定比例。</w:t>
            </w:r>
          </w:p>
        </w:tc>
        <w:tc>
          <w:tcPr>
            <w:tcW w:w="69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340" w:type="dxa"/>
            <w:noWrap w:val="0"/>
            <w:vAlign w:val="center"/>
          </w:tcPr>
          <w:p>
            <w:pPr>
              <w:spacing w:line="28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查阅编制、人力资源等部门落实自治区教职工编制和统筹使用有关资料、实地核查、走访座谈，中小学教师未足额配齐，扣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分，交流轮岗未达到规定比例的扣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7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编办、人力</w:t>
            </w:r>
            <w:r>
              <w:rPr>
                <w:rFonts w:hint="eastAsia" w:ascii="仿宋_GB2312" w:hAnsi="仿宋_GB2312" w:eastAsia="仿宋_GB2312" w:cs="仿宋_GB2312"/>
                <w:b/>
                <w:bCs/>
                <w:kern w:val="0"/>
                <w:sz w:val="24"/>
                <w:lang w:eastAsia="zh-CN"/>
              </w:rPr>
              <w:t>资源</w:t>
            </w:r>
            <w:r>
              <w:rPr>
                <w:rFonts w:hint="eastAsia" w:ascii="仿宋_GB2312" w:hAnsi="仿宋_GB2312" w:eastAsia="仿宋_GB2312" w:cs="仿宋_GB2312"/>
                <w:b/>
                <w:bCs/>
                <w:kern w:val="0"/>
                <w:sz w:val="24"/>
              </w:rPr>
              <w:t>和社会保障局、县教育工作领导小组</w:t>
            </w:r>
          </w:p>
        </w:tc>
        <w:tc>
          <w:tcPr>
            <w:tcW w:w="179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人事劳资室</w:t>
            </w:r>
          </w:p>
        </w:tc>
        <w:tc>
          <w:tcPr>
            <w:tcW w:w="1266"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110" w:type="dxa"/>
            <w:vMerge w:val="continue"/>
            <w:noWrap w:val="0"/>
            <w:vAlign w:val="center"/>
          </w:tcPr>
          <w:p>
            <w:pPr>
              <w:jc w:val="center"/>
              <w:textAlignment w:val="center"/>
              <w:rPr>
                <w:rFonts w:ascii="宋体" w:cs="宋体"/>
                <w:b/>
                <w:kern w:val="0"/>
                <w:szCs w:val="21"/>
              </w:rPr>
            </w:pPr>
          </w:p>
        </w:tc>
        <w:tc>
          <w:tcPr>
            <w:tcW w:w="1170" w:type="dxa"/>
            <w:vMerge w:val="continue"/>
            <w:noWrap w:val="0"/>
            <w:vAlign w:val="center"/>
          </w:tcPr>
          <w:p>
            <w:pPr>
              <w:jc w:val="center"/>
              <w:textAlignment w:val="center"/>
              <w:rPr>
                <w:rFonts w:ascii="宋体" w:cs="宋体"/>
                <w:b/>
                <w:kern w:val="0"/>
                <w:szCs w:val="21"/>
              </w:rPr>
            </w:pPr>
          </w:p>
        </w:tc>
        <w:tc>
          <w:tcPr>
            <w:tcW w:w="373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C37.</w:t>
            </w:r>
            <w:r>
              <w:rPr>
                <w:rFonts w:hint="eastAsia" w:ascii="仿宋_GB2312" w:hAnsi="宋体" w:eastAsia="仿宋_GB2312" w:cs="仿宋_GB2312"/>
                <w:kern w:val="0"/>
                <w:sz w:val="20"/>
                <w:szCs w:val="20"/>
              </w:rPr>
              <w:t>全面提升教师能力素质，加大教师培训经费投入力度，所有学校按照不低于学校年度公用经费总额的</w:t>
            </w:r>
            <w:r>
              <w:rPr>
                <w:rFonts w:ascii="仿宋_GB2312" w:hAnsi="宋体" w:eastAsia="仿宋_GB2312" w:cs="仿宋_GB2312"/>
                <w:kern w:val="0"/>
                <w:sz w:val="20"/>
                <w:szCs w:val="20"/>
              </w:rPr>
              <w:t>5%</w:t>
            </w:r>
            <w:r>
              <w:rPr>
                <w:rFonts w:hint="eastAsia" w:ascii="仿宋_GB2312" w:hAnsi="宋体" w:eastAsia="仿宋_GB2312" w:cs="仿宋_GB2312"/>
                <w:kern w:val="0"/>
                <w:sz w:val="20"/>
                <w:szCs w:val="20"/>
              </w:rPr>
              <w:t>安排教师培训经费，教师培训向农村薄弱学校倾斜。</w:t>
            </w:r>
          </w:p>
        </w:tc>
        <w:tc>
          <w:tcPr>
            <w:tcW w:w="69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340" w:type="dxa"/>
            <w:noWrap w:val="0"/>
            <w:vAlign w:val="center"/>
          </w:tcPr>
          <w:p>
            <w:pPr>
              <w:spacing w:line="28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查阅资料、实地核查、走访座谈，</w:t>
            </w:r>
            <w:r>
              <w:rPr>
                <w:rFonts w:hint="eastAsia" w:ascii="仿宋_GB2312" w:hAnsi="仿宋_GB2312" w:eastAsia="仿宋_GB2312" w:cs="仿宋_GB2312"/>
                <w:sz w:val="20"/>
                <w:szCs w:val="20"/>
              </w:rPr>
              <w:t>教师接受培训比例不达标扣</w:t>
            </w:r>
            <w:r>
              <w:rPr>
                <w:rFonts w:ascii="仿宋_GB2312" w:hAnsi="仿宋_GB2312" w:eastAsia="仿宋_GB2312" w:cs="仿宋_GB2312"/>
                <w:sz w:val="20"/>
                <w:szCs w:val="20"/>
              </w:rPr>
              <w:t>0.2</w:t>
            </w:r>
            <w:r>
              <w:rPr>
                <w:rFonts w:hint="eastAsia" w:ascii="仿宋_GB2312" w:hAnsi="仿宋_GB2312" w:eastAsia="仿宋_GB2312" w:cs="仿宋_GB2312"/>
                <w:sz w:val="20"/>
                <w:szCs w:val="20"/>
              </w:rPr>
              <w:t>分；未</w:t>
            </w:r>
            <w:r>
              <w:rPr>
                <w:rFonts w:hint="eastAsia" w:ascii="仿宋_GB2312" w:hAnsi="仿宋_GB2312" w:eastAsia="仿宋_GB2312" w:cs="仿宋_GB2312"/>
                <w:kern w:val="0"/>
                <w:sz w:val="20"/>
                <w:szCs w:val="20"/>
              </w:rPr>
              <w:t>落实教师培训经费扣</w:t>
            </w:r>
            <w:r>
              <w:rPr>
                <w:rFonts w:ascii="仿宋_GB2312" w:hAnsi="仿宋_GB2312" w:eastAsia="仿宋_GB2312" w:cs="仿宋_GB2312"/>
                <w:kern w:val="0"/>
                <w:sz w:val="20"/>
                <w:szCs w:val="20"/>
              </w:rPr>
              <w:t>0.2</w:t>
            </w:r>
            <w:r>
              <w:rPr>
                <w:rFonts w:hint="eastAsia" w:ascii="仿宋_GB2312" w:hAnsi="仿宋_GB2312" w:eastAsia="仿宋_GB2312" w:cs="仿宋_GB2312"/>
                <w:kern w:val="0"/>
                <w:sz w:val="20"/>
                <w:szCs w:val="20"/>
              </w:rPr>
              <w:t>分</w:t>
            </w:r>
            <w:r>
              <w:rPr>
                <w:rFonts w:hint="eastAsia" w:ascii="仿宋_GB2312" w:hAnsi="仿宋_GB2312" w:eastAsia="仿宋_GB2312" w:cs="仿宋_GB2312"/>
                <w:sz w:val="20"/>
                <w:szCs w:val="20"/>
              </w:rPr>
              <w:t>。</w:t>
            </w:r>
          </w:p>
        </w:tc>
        <w:tc>
          <w:tcPr>
            <w:tcW w:w="17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教体局</w:t>
            </w:r>
          </w:p>
        </w:tc>
        <w:tc>
          <w:tcPr>
            <w:tcW w:w="1794" w:type="dxa"/>
            <w:noWrap w:val="0"/>
            <w:vAlign w:val="center"/>
          </w:tcPr>
          <w:p>
            <w:pPr>
              <w:ind w:firstLine="241" w:firstLineChars="10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 研 室</w:t>
            </w:r>
          </w:p>
        </w:tc>
        <w:tc>
          <w:tcPr>
            <w:tcW w:w="1266"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110" w:type="dxa"/>
            <w:noWrap w:val="0"/>
            <w:vAlign w:val="center"/>
          </w:tcPr>
          <w:p>
            <w:pPr>
              <w:jc w:val="center"/>
              <w:textAlignment w:val="center"/>
              <w:rPr>
                <w:rFonts w:ascii="宋体" w:cs="宋体"/>
                <w:b/>
                <w:szCs w:val="21"/>
              </w:rPr>
            </w:pPr>
            <w:r>
              <w:rPr>
                <w:rFonts w:hint="eastAsia" w:ascii="宋体" w:hAnsi="宋体" w:cs="宋体"/>
                <w:b/>
                <w:kern w:val="0"/>
                <w:szCs w:val="21"/>
              </w:rPr>
              <w:t>一级指标</w:t>
            </w:r>
          </w:p>
        </w:tc>
        <w:tc>
          <w:tcPr>
            <w:tcW w:w="1170" w:type="dxa"/>
            <w:noWrap w:val="0"/>
            <w:vAlign w:val="center"/>
          </w:tcPr>
          <w:p>
            <w:pPr>
              <w:jc w:val="center"/>
              <w:textAlignment w:val="center"/>
              <w:rPr>
                <w:rFonts w:ascii="宋体" w:cs="宋体"/>
                <w:b/>
                <w:szCs w:val="21"/>
              </w:rPr>
            </w:pPr>
            <w:r>
              <w:rPr>
                <w:rFonts w:hint="eastAsia" w:ascii="宋体" w:hAnsi="宋体" w:cs="宋体"/>
                <w:b/>
                <w:kern w:val="0"/>
                <w:szCs w:val="21"/>
              </w:rPr>
              <w:t>二级指标</w:t>
            </w:r>
          </w:p>
        </w:tc>
        <w:tc>
          <w:tcPr>
            <w:tcW w:w="3735" w:type="dxa"/>
            <w:noWrap w:val="0"/>
            <w:vAlign w:val="center"/>
          </w:tcPr>
          <w:p>
            <w:pPr>
              <w:ind w:right="-107" w:rightChars="-51"/>
              <w:jc w:val="center"/>
              <w:textAlignment w:val="center"/>
              <w:rPr>
                <w:rFonts w:ascii="宋体" w:cs="宋体"/>
                <w:b/>
                <w:szCs w:val="21"/>
              </w:rPr>
            </w:pPr>
            <w:r>
              <w:rPr>
                <w:rFonts w:hint="eastAsia" w:ascii="宋体" w:hAnsi="宋体" w:cs="宋体"/>
                <w:b/>
                <w:kern w:val="0"/>
                <w:szCs w:val="21"/>
              </w:rPr>
              <w:t>三级指标</w:t>
            </w:r>
          </w:p>
        </w:tc>
        <w:tc>
          <w:tcPr>
            <w:tcW w:w="690" w:type="dxa"/>
            <w:noWrap w:val="0"/>
            <w:vAlign w:val="center"/>
          </w:tcPr>
          <w:p>
            <w:pPr>
              <w:ind w:right="-107" w:rightChars="-51"/>
              <w:textAlignment w:val="center"/>
              <w:rPr>
                <w:rFonts w:ascii="宋体" w:cs="宋体"/>
                <w:b/>
                <w:szCs w:val="21"/>
              </w:rPr>
            </w:pPr>
            <w:r>
              <w:rPr>
                <w:rFonts w:hint="eastAsia" w:ascii="宋体" w:hAnsi="宋体" w:cs="宋体"/>
                <w:b/>
                <w:szCs w:val="21"/>
              </w:rPr>
              <w:t>分值</w:t>
            </w:r>
          </w:p>
        </w:tc>
        <w:tc>
          <w:tcPr>
            <w:tcW w:w="3340" w:type="dxa"/>
            <w:noWrap w:val="0"/>
            <w:vAlign w:val="center"/>
          </w:tcPr>
          <w:p>
            <w:pPr>
              <w:jc w:val="center"/>
              <w:textAlignment w:val="center"/>
              <w:rPr>
                <w:rFonts w:ascii="宋体" w:cs="宋体"/>
                <w:b/>
                <w:kern w:val="0"/>
                <w:szCs w:val="21"/>
              </w:rPr>
            </w:pPr>
            <w:r>
              <w:rPr>
                <w:rFonts w:hint="eastAsia" w:ascii="宋体" w:hAnsi="宋体" w:cs="宋体"/>
                <w:b/>
                <w:szCs w:val="21"/>
              </w:rPr>
              <w:t>评分要点</w:t>
            </w:r>
          </w:p>
        </w:tc>
        <w:tc>
          <w:tcPr>
            <w:tcW w:w="1763"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794"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266"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10" w:type="dxa"/>
            <w:vMerge w:val="restart"/>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A5.</w:t>
            </w:r>
            <w:r>
              <w:rPr>
                <w:rFonts w:hint="eastAsia" w:ascii="仿宋_GB2312" w:hAnsi="宋体" w:eastAsia="仿宋_GB2312" w:cs="仿宋_GB2312"/>
                <w:kern w:val="0"/>
                <w:sz w:val="20"/>
                <w:szCs w:val="20"/>
              </w:rPr>
              <w:t>加强教育保障情况（</w:t>
            </w:r>
            <w:r>
              <w:rPr>
                <w:rFonts w:ascii="仿宋_GB2312" w:hAnsi="宋体" w:eastAsia="仿宋_GB2312" w:cs="仿宋_GB2312"/>
                <w:kern w:val="0"/>
                <w:sz w:val="20"/>
                <w:szCs w:val="20"/>
              </w:rPr>
              <w:t>22</w:t>
            </w:r>
            <w:r>
              <w:rPr>
                <w:rFonts w:hint="eastAsia" w:ascii="仿宋_GB2312" w:hAnsi="宋体" w:eastAsia="仿宋_GB2312" w:cs="仿宋_GB2312"/>
                <w:kern w:val="0"/>
                <w:sz w:val="20"/>
                <w:szCs w:val="20"/>
              </w:rPr>
              <w:t>分）</w:t>
            </w:r>
          </w:p>
        </w:tc>
        <w:tc>
          <w:tcPr>
            <w:tcW w:w="1170" w:type="dxa"/>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B21.</w:t>
            </w:r>
            <w:r>
              <w:rPr>
                <w:rFonts w:hint="eastAsia" w:ascii="仿宋_GB2312" w:hAnsi="宋体" w:eastAsia="仿宋_GB2312" w:cs="仿宋_GB2312"/>
                <w:kern w:val="0"/>
                <w:sz w:val="20"/>
                <w:szCs w:val="20"/>
              </w:rPr>
              <w:t>加强教师队伍建设</w:t>
            </w:r>
          </w:p>
        </w:tc>
        <w:tc>
          <w:tcPr>
            <w:tcW w:w="373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C38.</w:t>
            </w:r>
            <w:r>
              <w:rPr>
                <w:rFonts w:hint="eastAsia" w:ascii="仿宋_GB2312" w:hAnsi="宋体" w:eastAsia="仿宋_GB2312" w:cs="仿宋_GB2312"/>
                <w:kern w:val="0"/>
                <w:sz w:val="20"/>
                <w:szCs w:val="20"/>
              </w:rPr>
              <w:t>县（市、区）政府依法落实教师工资待遇，确保教师平均工资水平不低于当地公务员平均工资水平，落实连片特困地区乡村教师工资倾斜政策。切实为教师减负。</w:t>
            </w:r>
          </w:p>
        </w:tc>
        <w:tc>
          <w:tcPr>
            <w:tcW w:w="69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340" w:type="dxa"/>
            <w:noWrap w:val="0"/>
            <w:vAlign w:val="center"/>
          </w:tcPr>
          <w:p>
            <w:pPr>
              <w:spacing w:line="28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查阅资料、实地核查、走访座谈，拖欠教师工资扣</w:t>
            </w:r>
            <w:r>
              <w:rPr>
                <w:rFonts w:ascii="仿宋_GB2312" w:hAnsi="宋体" w:eastAsia="仿宋_GB2312" w:cs="仿宋_GB2312"/>
                <w:kern w:val="0"/>
                <w:sz w:val="20"/>
                <w:szCs w:val="20"/>
              </w:rPr>
              <w:t>0.3</w:t>
            </w:r>
            <w:r>
              <w:rPr>
                <w:rFonts w:hint="eastAsia" w:ascii="仿宋_GB2312" w:hAnsi="宋体" w:eastAsia="仿宋_GB2312" w:cs="仿宋_GB2312"/>
                <w:kern w:val="0"/>
                <w:sz w:val="20"/>
                <w:szCs w:val="20"/>
              </w:rPr>
              <w:t>分，教师平均工资水平低于当地公务员平均工资水平的扣</w:t>
            </w:r>
            <w:r>
              <w:rPr>
                <w:rFonts w:ascii="仿宋_GB2312" w:hAnsi="宋体" w:eastAsia="仿宋_GB2312" w:cs="仿宋_GB2312"/>
                <w:kern w:val="0"/>
                <w:sz w:val="20"/>
                <w:szCs w:val="20"/>
              </w:rPr>
              <w:t>0.3</w:t>
            </w:r>
            <w:r>
              <w:rPr>
                <w:rFonts w:hint="eastAsia" w:ascii="仿宋_GB2312" w:hAnsi="宋体" w:eastAsia="仿宋_GB2312" w:cs="仿宋_GB2312"/>
                <w:kern w:val="0"/>
                <w:sz w:val="20"/>
                <w:szCs w:val="20"/>
              </w:rPr>
              <w:t>分，未制定为教师减负相关政策规定的扣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w:t>
            </w:r>
          </w:p>
        </w:tc>
        <w:tc>
          <w:tcPr>
            <w:tcW w:w="17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县教育工作领导小组、财政局、教体局</w:t>
            </w:r>
          </w:p>
        </w:tc>
        <w:tc>
          <w:tcPr>
            <w:tcW w:w="179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计财审计室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人事劳资室</w:t>
            </w:r>
          </w:p>
        </w:tc>
        <w:tc>
          <w:tcPr>
            <w:tcW w:w="1266"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1110" w:type="dxa"/>
            <w:vMerge w:val="continue"/>
            <w:noWrap w:val="0"/>
            <w:vAlign w:val="center"/>
          </w:tcPr>
          <w:p>
            <w:pPr>
              <w:jc w:val="center"/>
              <w:textAlignment w:val="center"/>
              <w:rPr>
                <w:rFonts w:ascii="宋体" w:cs="宋体"/>
                <w:b/>
                <w:kern w:val="0"/>
                <w:szCs w:val="21"/>
              </w:rPr>
            </w:pPr>
          </w:p>
        </w:tc>
        <w:tc>
          <w:tcPr>
            <w:tcW w:w="117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B22.</w:t>
            </w:r>
            <w:r>
              <w:rPr>
                <w:rFonts w:hint="eastAsia" w:ascii="仿宋_GB2312" w:hAnsi="宋体" w:eastAsia="仿宋_GB2312" w:cs="仿宋_GB2312"/>
                <w:kern w:val="0"/>
                <w:sz w:val="20"/>
                <w:szCs w:val="20"/>
              </w:rPr>
              <w:t>改善学校办学条件</w:t>
            </w:r>
          </w:p>
        </w:tc>
        <w:tc>
          <w:tcPr>
            <w:tcW w:w="373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C39.</w:t>
            </w:r>
            <w:r>
              <w:rPr>
                <w:rFonts w:hint="eastAsia" w:ascii="仿宋_GB2312" w:hAnsi="宋体" w:eastAsia="仿宋_GB2312" w:cs="仿宋_GB2312"/>
                <w:kern w:val="0"/>
                <w:sz w:val="20"/>
                <w:szCs w:val="20"/>
              </w:rPr>
              <w:t>全面落实改善义务教育薄弱学校基本办学条件各项任务。</w:t>
            </w:r>
            <w:r>
              <w:rPr>
                <w:rStyle w:val="6"/>
                <w:rFonts w:hint="eastAsia" w:hAnsi="宋体" w:cs="仿宋_GB2312"/>
                <w:color w:val="auto"/>
                <w:szCs w:val="20"/>
              </w:rPr>
              <w:t>消除义务教育阶段学校</w:t>
            </w:r>
            <w:r>
              <w:rPr>
                <w:rStyle w:val="6"/>
                <w:rFonts w:hAnsi="宋体" w:cs="仿宋_GB2312"/>
                <w:color w:val="auto"/>
                <w:szCs w:val="20"/>
              </w:rPr>
              <w:t>56</w:t>
            </w:r>
            <w:r>
              <w:rPr>
                <w:rStyle w:val="6"/>
                <w:rFonts w:hint="eastAsia" w:hAnsi="宋体" w:cs="仿宋_GB2312"/>
                <w:color w:val="auto"/>
                <w:szCs w:val="20"/>
              </w:rPr>
              <w:t>人及以上大班额。普通高中</w:t>
            </w:r>
            <w:r>
              <w:rPr>
                <w:rStyle w:val="6"/>
                <w:rFonts w:hAnsi="宋体" w:cs="仿宋_GB2312"/>
                <w:color w:val="auto"/>
                <w:szCs w:val="20"/>
              </w:rPr>
              <w:t>56</w:t>
            </w:r>
            <w:r>
              <w:rPr>
                <w:rStyle w:val="6"/>
                <w:rFonts w:hint="eastAsia" w:hAnsi="宋体" w:cs="仿宋_GB2312"/>
                <w:color w:val="auto"/>
                <w:szCs w:val="20"/>
              </w:rPr>
              <w:t>人及以上大班额比例不超过</w:t>
            </w:r>
            <w:r>
              <w:rPr>
                <w:rStyle w:val="6"/>
                <w:rFonts w:hAnsi="宋体" w:cs="仿宋_GB2312"/>
                <w:color w:val="auto"/>
                <w:szCs w:val="20"/>
              </w:rPr>
              <w:t>10%</w:t>
            </w:r>
            <w:r>
              <w:rPr>
                <w:rStyle w:val="6"/>
                <w:rFonts w:hint="eastAsia" w:hAnsi="宋体" w:cs="仿宋_GB2312"/>
                <w:color w:val="auto"/>
                <w:szCs w:val="20"/>
              </w:rPr>
              <w:t>，超大规模学校数量</w:t>
            </w:r>
            <w:r>
              <w:rPr>
                <w:rFonts w:hint="eastAsia" w:ascii="仿宋_GB2312" w:hAnsi="宋体" w:eastAsia="仿宋_GB2312" w:cs="仿宋_GB2312"/>
                <w:kern w:val="0"/>
                <w:sz w:val="20"/>
                <w:szCs w:val="20"/>
              </w:rPr>
              <w:t>逐步减少</w:t>
            </w:r>
            <w:r>
              <w:rPr>
                <w:rStyle w:val="6"/>
                <w:rFonts w:hint="eastAsia" w:hAnsi="宋体" w:cs="仿宋_GB2312"/>
                <w:color w:val="auto"/>
                <w:szCs w:val="20"/>
              </w:rPr>
              <w:t>。</w:t>
            </w:r>
          </w:p>
        </w:tc>
        <w:tc>
          <w:tcPr>
            <w:tcW w:w="69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3</w:t>
            </w:r>
          </w:p>
        </w:tc>
        <w:tc>
          <w:tcPr>
            <w:tcW w:w="3340" w:type="dxa"/>
            <w:noWrap w:val="0"/>
            <w:vAlign w:val="center"/>
          </w:tcPr>
          <w:p>
            <w:pPr>
              <w:spacing w:line="28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查阅资料、实地核查、走访座谈，全面改薄、消除义务教育阶段</w:t>
            </w:r>
            <w:r>
              <w:rPr>
                <w:rFonts w:ascii="仿宋_GB2312" w:hAnsi="宋体" w:eastAsia="仿宋_GB2312" w:cs="仿宋_GB2312"/>
                <w:kern w:val="0"/>
                <w:sz w:val="20"/>
                <w:szCs w:val="20"/>
              </w:rPr>
              <w:t>56</w:t>
            </w:r>
            <w:r>
              <w:rPr>
                <w:rFonts w:hint="eastAsia" w:ascii="仿宋_GB2312" w:hAnsi="宋体" w:eastAsia="仿宋_GB2312" w:cs="仿宋_GB2312"/>
                <w:kern w:val="0"/>
                <w:sz w:val="20"/>
                <w:szCs w:val="20"/>
              </w:rPr>
              <w:t>人及以上大班额、减少大规模学校等每一项没有完成的各扣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分，普通高中</w:t>
            </w:r>
            <w:r>
              <w:rPr>
                <w:rFonts w:ascii="仿宋_GB2312" w:hAnsi="宋体" w:eastAsia="仿宋_GB2312" w:cs="仿宋_GB2312"/>
                <w:kern w:val="0"/>
                <w:sz w:val="20"/>
                <w:szCs w:val="20"/>
              </w:rPr>
              <w:t>56</w:t>
            </w:r>
            <w:r>
              <w:rPr>
                <w:rFonts w:hint="eastAsia" w:ascii="仿宋_GB2312" w:hAnsi="宋体" w:eastAsia="仿宋_GB2312" w:cs="仿宋_GB2312"/>
                <w:kern w:val="0"/>
                <w:sz w:val="20"/>
                <w:szCs w:val="20"/>
              </w:rPr>
              <w:t>人及以上大班额比例高于</w:t>
            </w:r>
            <w:r>
              <w:rPr>
                <w:rFonts w:ascii="仿宋_GB2312" w:hAnsi="宋体" w:eastAsia="仿宋_GB2312" w:cs="仿宋_GB2312"/>
                <w:kern w:val="0"/>
                <w:sz w:val="20"/>
                <w:szCs w:val="20"/>
              </w:rPr>
              <w:t>10%</w:t>
            </w:r>
            <w:r>
              <w:rPr>
                <w:rFonts w:hint="eastAsia" w:ascii="仿宋_GB2312" w:hAnsi="宋体" w:eastAsia="仿宋_GB2312" w:cs="仿宋_GB2312"/>
                <w:kern w:val="0"/>
                <w:sz w:val="20"/>
                <w:szCs w:val="20"/>
              </w:rPr>
              <w:t>的，每高一个百分点扣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w:t>
            </w:r>
          </w:p>
        </w:tc>
        <w:tc>
          <w:tcPr>
            <w:tcW w:w="17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县教育工作领导小组、财政局、教体局</w:t>
            </w:r>
          </w:p>
        </w:tc>
        <w:tc>
          <w:tcPr>
            <w:tcW w:w="179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项 目 办</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条件装备室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tc>
        <w:tc>
          <w:tcPr>
            <w:tcW w:w="1266"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10" w:type="dxa"/>
            <w:vMerge w:val="continue"/>
            <w:noWrap w:val="0"/>
            <w:vAlign w:val="center"/>
          </w:tcPr>
          <w:p>
            <w:pPr>
              <w:jc w:val="center"/>
              <w:textAlignment w:val="center"/>
              <w:rPr>
                <w:rFonts w:ascii="宋体" w:cs="宋体"/>
                <w:b/>
                <w:kern w:val="0"/>
                <w:szCs w:val="21"/>
              </w:rPr>
            </w:pPr>
          </w:p>
        </w:tc>
        <w:tc>
          <w:tcPr>
            <w:tcW w:w="1170" w:type="dxa"/>
            <w:vMerge w:val="restart"/>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B23.</w:t>
            </w:r>
            <w:r>
              <w:rPr>
                <w:rFonts w:hint="eastAsia" w:ascii="仿宋_GB2312" w:hAnsi="宋体" w:eastAsia="仿宋_GB2312" w:cs="仿宋_GB2312"/>
                <w:kern w:val="0"/>
                <w:sz w:val="20"/>
                <w:szCs w:val="20"/>
              </w:rPr>
              <w:t>推进教育信息化建设</w:t>
            </w:r>
          </w:p>
          <w:p>
            <w:pPr>
              <w:jc w:val="center"/>
              <w:textAlignment w:val="center"/>
              <w:rPr>
                <w:rFonts w:ascii="仿宋_GB2312" w:hAnsi="宋体" w:eastAsia="仿宋_GB2312" w:cs="仿宋_GB2312"/>
                <w:kern w:val="0"/>
                <w:sz w:val="20"/>
                <w:szCs w:val="20"/>
              </w:rPr>
            </w:pPr>
          </w:p>
        </w:tc>
        <w:tc>
          <w:tcPr>
            <w:tcW w:w="373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C40.</w:t>
            </w:r>
            <w:r>
              <w:rPr>
                <w:rFonts w:hint="eastAsia" w:ascii="仿宋_GB2312" w:hAnsi="宋体" w:eastAsia="仿宋_GB2312" w:cs="仿宋_GB2312"/>
                <w:kern w:val="0"/>
                <w:sz w:val="20"/>
                <w:szCs w:val="20"/>
              </w:rPr>
              <w:t>建立教育信息化建设统筹推进的领导体制和工作机制。</w:t>
            </w:r>
          </w:p>
        </w:tc>
        <w:tc>
          <w:tcPr>
            <w:tcW w:w="69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340" w:type="dxa"/>
            <w:noWrap w:val="0"/>
            <w:vAlign w:val="center"/>
          </w:tcPr>
          <w:p>
            <w:pPr>
              <w:spacing w:line="28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查阅资料、实地核查、走访座谈，未建立健全领导体制扣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76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县教体局</w:t>
            </w:r>
          </w:p>
        </w:tc>
        <w:tc>
          <w:tcPr>
            <w:tcW w:w="179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教育信息化室</w:t>
            </w:r>
          </w:p>
        </w:tc>
        <w:tc>
          <w:tcPr>
            <w:tcW w:w="1266"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1110" w:type="dxa"/>
            <w:vMerge w:val="continue"/>
            <w:noWrap w:val="0"/>
            <w:vAlign w:val="center"/>
          </w:tcPr>
          <w:p>
            <w:pPr>
              <w:jc w:val="center"/>
              <w:textAlignment w:val="center"/>
              <w:rPr>
                <w:rFonts w:ascii="仿宋_GB2312" w:hAnsi="宋体" w:eastAsia="仿宋_GB2312" w:cs="仿宋_GB2312"/>
                <w:kern w:val="0"/>
                <w:sz w:val="20"/>
                <w:szCs w:val="20"/>
              </w:rPr>
            </w:pPr>
          </w:p>
        </w:tc>
        <w:tc>
          <w:tcPr>
            <w:tcW w:w="1170" w:type="dxa"/>
            <w:vMerge w:val="continue"/>
            <w:noWrap w:val="0"/>
            <w:vAlign w:val="center"/>
          </w:tcPr>
          <w:p>
            <w:pPr>
              <w:jc w:val="center"/>
              <w:textAlignment w:val="center"/>
              <w:rPr>
                <w:rFonts w:ascii="仿宋_GB2312" w:hAnsi="宋体" w:eastAsia="仿宋_GB2312" w:cs="仿宋_GB2312"/>
                <w:kern w:val="0"/>
                <w:sz w:val="20"/>
                <w:szCs w:val="20"/>
              </w:rPr>
            </w:pPr>
          </w:p>
        </w:tc>
        <w:tc>
          <w:tcPr>
            <w:tcW w:w="373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C41.</w:t>
            </w:r>
            <w:r>
              <w:rPr>
                <w:rStyle w:val="6"/>
                <w:rFonts w:hint="eastAsia" w:cs="仿宋_GB2312"/>
                <w:color w:val="auto"/>
                <w:szCs w:val="20"/>
              </w:rPr>
              <w:t>全面开展教师信息技术应用能力培训；将教师信息技术应用能力作为教师资格认定、资格定期注册、职务（职称）评聘和考核奖励等的必备条件，并列入中小学办学水平评估和校长考评指标体系；每年开展教育信息技术应用能力或宁夏教育云专题培训。</w:t>
            </w:r>
          </w:p>
        </w:tc>
        <w:tc>
          <w:tcPr>
            <w:tcW w:w="690"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1</w:t>
            </w:r>
          </w:p>
        </w:tc>
        <w:tc>
          <w:tcPr>
            <w:tcW w:w="3340" w:type="dxa"/>
            <w:noWrap w:val="0"/>
            <w:vAlign w:val="center"/>
          </w:tcPr>
          <w:p>
            <w:pP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查阅资料、实地核查、走访座谈，未</w:t>
            </w:r>
            <w:r>
              <w:rPr>
                <w:rStyle w:val="6"/>
                <w:rFonts w:hint="eastAsia" w:cs="仿宋_GB2312"/>
                <w:color w:val="auto"/>
                <w:szCs w:val="20"/>
              </w:rPr>
              <w:t>将教师信息技术应用能力作为职称评聘和考核奖励等的必备条件，未列入中小学办学水平评估和校长考评指标体系的扣</w:t>
            </w:r>
            <w:r>
              <w:rPr>
                <w:rStyle w:val="6"/>
                <w:rFonts w:cs="仿宋_GB2312"/>
                <w:color w:val="auto"/>
                <w:szCs w:val="20"/>
              </w:rPr>
              <w:t>0.2</w:t>
            </w:r>
            <w:r>
              <w:rPr>
                <w:rStyle w:val="6"/>
                <w:rFonts w:hint="eastAsia" w:cs="仿宋_GB2312"/>
                <w:color w:val="auto"/>
                <w:szCs w:val="20"/>
              </w:rPr>
              <w:t>分；每年开展教育信息技术应用能力或宁夏教育云专题培训少于</w:t>
            </w:r>
            <w:r>
              <w:rPr>
                <w:rStyle w:val="6"/>
                <w:rFonts w:cs="仿宋_GB2312"/>
                <w:color w:val="auto"/>
                <w:szCs w:val="20"/>
              </w:rPr>
              <w:t>2</w:t>
            </w:r>
            <w:r>
              <w:rPr>
                <w:rStyle w:val="6"/>
                <w:rFonts w:hint="eastAsia" w:cs="仿宋_GB2312"/>
                <w:color w:val="auto"/>
                <w:szCs w:val="20"/>
              </w:rPr>
              <w:t>次的少</w:t>
            </w:r>
            <w:r>
              <w:rPr>
                <w:rStyle w:val="6"/>
                <w:rFonts w:cs="仿宋_GB2312"/>
                <w:color w:val="auto"/>
                <w:szCs w:val="20"/>
              </w:rPr>
              <w:t>1</w:t>
            </w:r>
            <w:r>
              <w:rPr>
                <w:rStyle w:val="6"/>
                <w:rFonts w:hint="eastAsia" w:cs="仿宋_GB2312"/>
                <w:color w:val="auto"/>
                <w:szCs w:val="20"/>
              </w:rPr>
              <w:t>次扣</w:t>
            </w:r>
            <w:r>
              <w:rPr>
                <w:rStyle w:val="6"/>
                <w:rFonts w:cs="仿宋_GB2312"/>
                <w:color w:val="auto"/>
                <w:szCs w:val="20"/>
              </w:rPr>
              <w:t>0.1</w:t>
            </w:r>
            <w:r>
              <w:rPr>
                <w:rStyle w:val="6"/>
                <w:rFonts w:hint="eastAsia" w:cs="仿宋_GB2312"/>
                <w:color w:val="auto"/>
                <w:szCs w:val="20"/>
              </w:rPr>
              <w:t>分。</w:t>
            </w:r>
          </w:p>
        </w:tc>
        <w:tc>
          <w:tcPr>
            <w:tcW w:w="1763" w:type="dxa"/>
            <w:noWrap w:val="0"/>
            <w:vAlign w:val="center"/>
          </w:tcPr>
          <w:p>
            <w:pPr>
              <w:jc w:val="center"/>
              <w:textAlignment w:val="center"/>
              <w:rPr>
                <w:rFonts w:hint="eastAsia" w:ascii="仿宋_GB2312" w:hAnsi="宋体" w:eastAsia="仿宋_GB2312" w:cs="仿宋_GB2312"/>
                <w:kern w:val="0"/>
                <w:sz w:val="20"/>
                <w:szCs w:val="20"/>
              </w:rPr>
            </w:pPr>
            <w:r>
              <w:rPr>
                <w:rFonts w:hint="eastAsia" w:ascii="仿宋_GB2312" w:hAnsi="仿宋_GB2312" w:eastAsia="仿宋_GB2312" w:cs="仿宋_GB2312"/>
                <w:b/>
                <w:bCs/>
                <w:kern w:val="0"/>
                <w:sz w:val="24"/>
              </w:rPr>
              <w:t>县教体局</w:t>
            </w:r>
          </w:p>
        </w:tc>
        <w:tc>
          <w:tcPr>
            <w:tcW w:w="179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 研 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教育信息化室</w:t>
            </w:r>
          </w:p>
        </w:tc>
        <w:tc>
          <w:tcPr>
            <w:tcW w:w="1266" w:type="dxa"/>
            <w:noWrap w:val="0"/>
            <w:vAlign w:val="center"/>
          </w:tcPr>
          <w:p>
            <w:pPr>
              <w:jc w:val="center"/>
              <w:rPr>
                <w:rFonts w:hint="eastAsia" w:ascii="仿宋_GB2312" w:hAnsi="仿宋_GB2312" w:eastAsia="仿宋_GB2312" w:cs="仿宋_GB2312"/>
                <w:b/>
                <w:bCs/>
                <w:kern w:val="0"/>
                <w:sz w:val="24"/>
              </w:rPr>
            </w:pPr>
          </w:p>
        </w:tc>
      </w:tr>
    </w:tbl>
    <w:tbl>
      <w:tblPr>
        <w:tblStyle w:val="3"/>
        <w:tblpPr w:leftFromText="180" w:rightFromText="180" w:vertAnchor="text" w:horzAnchor="page" w:tblpX="1246" w:tblpY="246"/>
        <w:tblOverlap w:val="never"/>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155"/>
        <w:gridCol w:w="3675"/>
        <w:gridCol w:w="765"/>
        <w:gridCol w:w="3475"/>
        <w:gridCol w:w="1328"/>
        <w:gridCol w:w="1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230" w:type="dxa"/>
            <w:noWrap w:val="0"/>
            <w:vAlign w:val="center"/>
          </w:tcPr>
          <w:p>
            <w:pPr>
              <w:jc w:val="center"/>
              <w:textAlignment w:val="center"/>
              <w:rPr>
                <w:rFonts w:ascii="宋体" w:cs="宋体"/>
                <w:b/>
                <w:szCs w:val="21"/>
              </w:rPr>
            </w:pPr>
            <w:r>
              <w:rPr>
                <w:rFonts w:hint="eastAsia" w:ascii="宋体" w:hAnsi="宋体" w:cs="宋体"/>
                <w:b/>
                <w:kern w:val="0"/>
                <w:szCs w:val="21"/>
              </w:rPr>
              <w:t>一级指标</w:t>
            </w:r>
          </w:p>
        </w:tc>
        <w:tc>
          <w:tcPr>
            <w:tcW w:w="1155" w:type="dxa"/>
            <w:noWrap w:val="0"/>
            <w:vAlign w:val="center"/>
          </w:tcPr>
          <w:p>
            <w:pPr>
              <w:jc w:val="center"/>
              <w:textAlignment w:val="center"/>
              <w:rPr>
                <w:rFonts w:ascii="宋体" w:cs="宋体"/>
                <w:b/>
                <w:szCs w:val="21"/>
              </w:rPr>
            </w:pPr>
            <w:r>
              <w:rPr>
                <w:rFonts w:hint="eastAsia" w:ascii="宋体" w:hAnsi="宋体" w:cs="宋体"/>
                <w:b/>
                <w:kern w:val="0"/>
                <w:szCs w:val="21"/>
              </w:rPr>
              <w:t>二级指标</w:t>
            </w:r>
          </w:p>
        </w:tc>
        <w:tc>
          <w:tcPr>
            <w:tcW w:w="3675" w:type="dxa"/>
            <w:noWrap w:val="0"/>
            <w:vAlign w:val="center"/>
          </w:tcPr>
          <w:p>
            <w:pPr>
              <w:ind w:right="-107" w:rightChars="-51"/>
              <w:jc w:val="center"/>
              <w:textAlignment w:val="center"/>
              <w:rPr>
                <w:rFonts w:ascii="宋体" w:cs="宋体"/>
                <w:b/>
                <w:szCs w:val="21"/>
              </w:rPr>
            </w:pPr>
            <w:r>
              <w:rPr>
                <w:rFonts w:hint="eastAsia" w:ascii="宋体" w:hAnsi="宋体" w:cs="宋体"/>
                <w:b/>
                <w:kern w:val="0"/>
                <w:szCs w:val="21"/>
              </w:rPr>
              <w:t>三级指标</w:t>
            </w:r>
          </w:p>
        </w:tc>
        <w:tc>
          <w:tcPr>
            <w:tcW w:w="765" w:type="dxa"/>
            <w:noWrap w:val="0"/>
            <w:vAlign w:val="center"/>
          </w:tcPr>
          <w:p>
            <w:pPr>
              <w:ind w:right="-107" w:rightChars="-51"/>
              <w:jc w:val="center"/>
              <w:textAlignment w:val="center"/>
              <w:rPr>
                <w:rFonts w:ascii="宋体" w:cs="宋体"/>
                <w:b/>
                <w:szCs w:val="21"/>
              </w:rPr>
            </w:pPr>
            <w:r>
              <w:rPr>
                <w:rFonts w:hint="eastAsia" w:ascii="宋体" w:hAnsi="宋体" w:cs="宋体"/>
                <w:b/>
                <w:szCs w:val="21"/>
              </w:rPr>
              <w:t>分值</w:t>
            </w:r>
          </w:p>
        </w:tc>
        <w:tc>
          <w:tcPr>
            <w:tcW w:w="3475" w:type="dxa"/>
            <w:noWrap w:val="0"/>
            <w:vAlign w:val="center"/>
          </w:tcPr>
          <w:p>
            <w:pPr>
              <w:jc w:val="center"/>
              <w:textAlignment w:val="center"/>
              <w:rPr>
                <w:rFonts w:ascii="宋体" w:cs="宋体"/>
                <w:b/>
                <w:kern w:val="0"/>
                <w:szCs w:val="21"/>
              </w:rPr>
            </w:pPr>
            <w:r>
              <w:rPr>
                <w:rFonts w:hint="eastAsia" w:ascii="宋体" w:hAnsi="宋体" w:cs="宋体"/>
                <w:b/>
                <w:szCs w:val="21"/>
              </w:rPr>
              <w:t>评分要点</w:t>
            </w:r>
          </w:p>
        </w:tc>
        <w:tc>
          <w:tcPr>
            <w:tcW w:w="1328"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800"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260"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trPr>
        <w:tc>
          <w:tcPr>
            <w:tcW w:w="1230" w:type="dxa"/>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A5.</w:t>
            </w:r>
            <w:r>
              <w:rPr>
                <w:rFonts w:hint="eastAsia" w:ascii="仿宋_GB2312" w:hAnsi="宋体" w:eastAsia="仿宋_GB2312" w:cs="仿宋_GB2312"/>
                <w:kern w:val="0"/>
                <w:sz w:val="20"/>
                <w:szCs w:val="20"/>
              </w:rPr>
              <w:t>加强教育保障情况（</w:t>
            </w:r>
            <w:r>
              <w:rPr>
                <w:rFonts w:ascii="仿宋_GB2312" w:hAnsi="宋体" w:eastAsia="仿宋_GB2312" w:cs="仿宋_GB2312"/>
                <w:kern w:val="0"/>
                <w:sz w:val="20"/>
                <w:szCs w:val="20"/>
              </w:rPr>
              <w:t>22</w:t>
            </w:r>
            <w:r>
              <w:rPr>
                <w:rFonts w:hint="eastAsia" w:ascii="仿宋_GB2312" w:hAnsi="宋体" w:eastAsia="仿宋_GB2312" w:cs="仿宋_GB2312"/>
                <w:kern w:val="0"/>
                <w:sz w:val="20"/>
                <w:szCs w:val="20"/>
              </w:rPr>
              <w:t>分）</w:t>
            </w:r>
          </w:p>
        </w:tc>
        <w:tc>
          <w:tcPr>
            <w:tcW w:w="1155" w:type="dxa"/>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B23.</w:t>
            </w:r>
            <w:r>
              <w:rPr>
                <w:rFonts w:hint="eastAsia" w:ascii="仿宋_GB2312" w:hAnsi="宋体" w:eastAsia="仿宋_GB2312" w:cs="仿宋_GB2312"/>
                <w:kern w:val="0"/>
                <w:sz w:val="20"/>
                <w:szCs w:val="20"/>
              </w:rPr>
              <w:t>推进教育信息化建设</w:t>
            </w:r>
          </w:p>
        </w:tc>
        <w:tc>
          <w:tcPr>
            <w:tcW w:w="367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C42.</w:t>
            </w:r>
            <w:r>
              <w:rPr>
                <w:rFonts w:hint="eastAsia" w:ascii="仿宋_GB2312" w:hAnsi="宋体" w:eastAsia="仿宋_GB2312" w:cs="仿宋_GB2312"/>
                <w:kern w:val="0"/>
                <w:sz w:val="20"/>
                <w:szCs w:val="20"/>
              </w:rPr>
              <w:t>实现“人人通空间”教师开通率</w:t>
            </w:r>
            <w:r>
              <w:rPr>
                <w:rFonts w:ascii="仿宋_GB2312" w:hAnsi="宋体" w:eastAsia="仿宋_GB2312" w:cs="仿宋_GB2312"/>
                <w:kern w:val="0"/>
                <w:sz w:val="20"/>
                <w:szCs w:val="20"/>
              </w:rPr>
              <w:t>100%</w:t>
            </w:r>
            <w:r>
              <w:rPr>
                <w:rFonts w:hint="eastAsia" w:ascii="仿宋_GB2312" w:hAnsi="宋体" w:eastAsia="仿宋_GB2312" w:cs="仿宋_GB2312"/>
                <w:kern w:val="0"/>
                <w:sz w:val="20"/>
                <w:szCs w:val="20"/>
              </w:rPr>
              <w:t>，适龄学生开通率</w:t>
            </w:r>
            <w:r>
              <w:rPr>
                <w:rFonts w:ascii="仿宋_GB2312" w:hAnsi="宋体" w:eastAsia="仿宋_GB2312" w:cs="仿宋_GB2312"/>
                <w:kern w:val="0"/>
                <w:sz w:val="20"/>
                <w:szCs w:val="20"/>
              </w:rPr>
              <w:t>100%</w:t>
            </w:r>
            <w:r>
              <w:rPr>
                <w:rFonts w:hint="eastAsia" w:ascii="仿宋_GB2312" w:hAnsi="宋体" w:eastAsia="仿宋_GB2312" w:cs="仿宋_GB2312"/>
                <w:kern w:val="0"/>
                <w:sz w:val="20"/>
                <w:szCs w:val="20"/>
              </w:rPr>
              <w:t>。依托宁夏教育云促进优质数字教育资源共建共享成效明显，教育局空间中“本地教学资源”丰富。推动“在线互动课堂”应用常态化，实现“优质学校带薄弱学校、优秀教师带普通教师”的模式制度化。区域内所有学校宽带网络全覆盖，带宽达</w:t>
            </w:r>
            <w:r>
              <w:rPr>
                <w:rFonts w:ascii="仿宋_GB2312" w:hAnsi="宋体" w:eastAsia="仿宋_GB2312" w:cs="仿宋_GB2312"/>
                <w:kern w:val="0"/>
                <w:sz w:val="20"/>
                <w:szCs w:val="20"/>
              </w:rPr>
              <w:t>200Mpbs</w:t>
            </w:r>
            <w:r>
              <w:rPr>
                <w:rFonts w:hint="eastAsia" w:ascii="仿宋_GB2312" w:hAnsi="宋体" w:eastAsia="仿宋_GB2312" w:cs="仿宋_GB2312"/>
                <w:kern w:val="0"/>
                <w:sz w:val="20"/>
                <w:szCs w:val="20"/>
              </w:rPr>
              <w:t>以上，班级教学终端配备率达到</w:t>
            </w:r>
            <w:r>
              <w:rPr>
                <w:rFonts w:ascii="仿宋_GB2312" w:hAnsi="宋体" w:eastAsia="仿宋_GB2312" w:cs="仿宋_GB2312"/>
                <w:kern w:val="0"/>
                <w:sz w:val="20"/>
                <w:szCs w:val="20"/>
              </w:rPr>
              <w:t>100%</w:t>
            </w:r>
            <w:r>
              <w:rPr>
                <w:rFonts w:hint="eastAsia" w:ascii="仿宋_GB2312" w:hAnsi="宋体" w:eastAsia="仿宋_GB2312" w:cs="仿宋_GB2312"/>
                <w:kern w:val="0"/>
                <w:sz w:val="20"/>
                <w:szCs w:val="20"/>
              </w:rPr>
              <w:t>，实现“数字校园”应用覆盖所有学校，“在线互动课堂”覆盖所有农村学校。</w:t>
            </w:r>
          </w:p>
        </w:tc>
        <w:tc>
          <w:tcPr>
            <w:tcW w:w="76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475" w:type="dxa"/>
            <w:noWrap w:val="0"/>
            <w:vAlign w:val="center"/>
          </w:tcPr>
          <w:p>
            <w:pP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登录教育云查阅后台应用统计报表，实地查看，现场询问，任何一项未完成各扣</w:t>
            </w:r>
            <w:r>
              <w:rPr>
                <w:rFonts w:ascii="仿宋_GB2312" w:hAnsi="宋体" w:eastAsia="仿宋_GB2312" w:cs="仿宋_GB2312"/>
                <w:kern w:val="0"/>
                <w:sz w:val="20"/>
                <w:szCs w:val="20"/>
              </w:rPr>
              <w:t>0.1</w:t>
            </w:r>
            <w:r>
              <w:rPr>
                <w:rFonts w:hint="eastAsia" w:ascii="仿宋_GB2312" w:hAnsi="宋体" w:eastAsia="仿宋_GB2312" w:cs="仿宋_GB2312"/>
                <w:kern w:val="0"/>
                <w:sz w:val="20"/>
                <w:szCs w:val="20"/>
              </w:rPr>
              <w:t>分。</w:t>
            </w:r>
          </w:p>
        </w:tc>
        <w:tc>
          <w:tcPr>
            <w:tcW w:w="1328"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教体局</w:t>
            </w:r>
          </w:p>
        </w:tc>
        <w:tc>
          <w:tcPr>
            <w:tcW w:w="180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 研 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教育信息化室</w:t>
            </w:r>
          </w:p>
        </w:tc>
        <w:tc>
          <w:tcPr>
            <w:tcW w:w="1260"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1230" w:type="dxa"/>
            <w:noWrap w:val="0"/>
            <w:vAlign w:val="center"/>
          </w:tcPr>
          <w:p>
            <w:pPr>
              <w:textAlignment w:val="center"/>
              <w:rPr>
                <w:rFonts w:ascii="宋体" w:cs="宋体"/>
                <w:b/>
                <w:kern w:val="0"/>
                <w:szCs w:val="21"/>
              </w:rPr>
            </w:pPr>
            <w:r>
              <w:rPr>
                <w:rFonts w:ascii="仿宋_GB2312" w:hAnsi="宋体" w:eastAsia="仿宋_GB2312" w:cs="仿宋_GB2312"/>
                <w:kern w:val="0"/>
                <w:sz w:val="20"/>
                <w:szCs w:val="20"/>
              </w:rPr>
              <w:t>A6.</w:t>
            </w:r>
            <w:r>
              <w:rPr>
                <w:rFonts w:hint="eastAsia" w:ascii="仿宋_GB2312" w:hAnsi="宋体" w:eastAsia="仿宋_GB2312" w:cs="仿宋_GB2312"/>
                <w:kern w:val="0"/>
                <w:sz w:val="20"/>
                <w:szCs w:val="20"/>
              </w:rPr>
              <w:t>规范学校办学行为（</w:t>
            </w:r>
            <w:r>
              <w:rPr>
                <w:rFonts w:ascii="仿宋_GB2312" w:hAnsi="宋体" w:eastAsia="仿宋_GB2312" w:cs="仿宋_GB2312"/>
                <w:kern w:val="0"/>
                <w:sz w:val="20"/>
                <w:szCs w:val="20"/>
              </w:rPr>
              <w:t>8</w:t>
            </w:r>
            <w:r>
              <w:rPr>
                <w:rFonts w:hint="eastAsia" w:ascii="仿宋_GB2312" w:hAnsi="宋体" w:eastAsia="仿宋_GB2312" w:cs="仿宋_GB2312"/>
                <w:kern w:val="0"/>
                <w:sz w:val="20"/>
                <w:szCs w:val="20"/>
              </w:rPr>
              <w:t>分）</w:t>
            </w:r>
          </w:p>
        </w:tc>
        <w:tc>
          <w:tcPr>
            <w:tcW w:w="115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B24.</w:t>
            </w:r>
            <w:r>
              <w:rPr>
                <w:rFonts w:hint="eastAsia" w:ascii="仿宋_GB2312" w:hAnsi="宋体" w:eastAsia="仿宋_GB2312" w:cs="仿宋_GB2312"/>
                <w:kern w:val="0"/>
                <w:sz w:val="20"/>
                <w:szCs w:val="20"/>
              </w:rPr>
              <w:t>坚持正确办学方向，落实立德树人根本任务</w:t>
            </w:r>
          </w:p>
        </w:tc>
        <w:tc>
          <w:tcPr>
            <w:tcW w:w="367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C43.</w:t>
            </w:r>
            <w:r>
              <w:rPr>
                <w:rFonts w:hint="eastAsia" w:ascii="仿宋_GB2312" w:hAnsi="宋体" w:eastAsia="仿宋_GB2312" w:cs="仿宋_GB2312"/>
                <w:kern w:val="0"/>
                <w:sz w:val="20"/>
                <w:szCs w:val="20"/>
              </w:rPr>
              <w:t>坚持正确政治方向，把培育和践行社会主义核心价值观融入国民教育全过程，制度健全，组织有力，推进工作成效明显。</w:t>
            </w:r>
          </w:p>
        </w:tc>
        <w:tc>
          <w:tcPr>
            <w:tcW w:w="765" w:type="dxa"/>
            <w:noWrap w:val="0"/>
            <w:vAlign w:val="center"/>
          </w:tcPr>
          <w:p>
            <w:pPr>
              <w:jc w:val="cente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2</w:t>
            </w:r>
          </w:p>
        </w:tc>
        <w:tc>
          <w:tcPr>
            <w:tcW w:w="3475" w:type="dxa"/>
            <w:noWrap w:val="0"/>
            <w:vAlign w:val="center"/>
          </w:tcPr>
          <w:p>
            <w:pPr>
              <w:spacing w:line="28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查阅资料、实地核查、走访座谈，未制定培育和践行社会主义核心价值观实施办法或细则扣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分；组织不得力、效果不明显分别扣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328"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教体局</w:t>
            </w:r>
          </w:p>
        </w:tc>
        <w:tc>
          <w:tcPr>
            <w:tcW w:w="1800" w:type="dxa"/>
            <w:noWrap w:val="0"/>
            <w:vAlign w:val="center"/>
          </w:tcPr>
          <w:p>
            <w:pPr>
              <w:jc w:val="center"/>
              <w:textAlignment w:val="center"/>
              <w:rPr>
                <w:rFonts w:hint="eastAsia" w:ascii="宋体" w:cs="宋体"/>
                <w:b/>
                <w:kern w:val="0"/>
                <w:szCs w:val="21"/>
              </w:rPr>
            </w:pPr>
            <w:r>
              <w:rPr>
                <w:rFonts w:hint="eastAsia" w:ascii="仿宋_GB2312" w:hAnsi="仿宋_GB2312" w:eastAsia="仿宋_GB2312" w:cs="仿宋_GB2312"/>
                <w:b/>
                <w:bCs/>
                <w:kern w:val="0"/>
                <w:sz w:val="24"/>
              </w:rPr>
              <w:t>教育管理室</w:t>
            </w:r>
          </w:p>
        </w:tc>
        <w:tc>
          <w:tcPr>
            <w:tcW w:w="1260" w:type="dxa"/>
            <w:noWrap w:val="0"/>
            <w:vAlign w:val="center"/>
          </w:tcPr>
          <w:p>
            <w:pPr>
              <w:jc w:val="center"/>
              <w:textAlignment w:val="center"/>
              <w:rPr>
                <w:rFonts w:ascii="宋体" w:cs="宋体"/>
                <w:b/>
                <w:kern w:val="0"/>
                <w:szCs w:val="21"/>
              </w:rPr>
            </w:pPr>
          </w:p>
        </w:tc>
      </w:tr>
    </w:tbl>
    <w:p/>
    <w:p/>
    <w:p/>
    <w:p>
      <w:r>
        <w:br w:type="textWrapping"/>
      </w:r>
    </w:p>
    <w:tbl>
      <w:tblPr>
        <w:tblStyle w:val="3"/>
        <w:tblpPr w:leftFromText="180" w:rightFromText="180" w:vertAnchor="text" w:horzAnchor="page" w:tblpX="1006" w:tblpY="-697"/>
        <w:tblOverlap w:val="never"/>
        <w:tblW w:w="14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170"/>
        <w:gridCol w:w="3675"/>
        <w:gridCol w:w="750"/>
        <w:gridCol w:w="3348"/>
        <w:gridCol w:w="1715"/>
        <w:gridCol w:w="1764"/>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245" w:type="dxa"/>
            <w:noWrap w:val="0"/>
            <w:vAlign w:val="center"/>
          </w:tcPr>
          <w:p>
            <w:pPr>
              <w:jc w:val="center"/>
              <w:textAlignment w:val="center"/>
              <w:rPr>
                <w:rFonts w:ascii="宋体" w:cs="宋体"/>
                <w:b/>
                <w:szCs w:val="21"/>
              </w:rPr>
            </w:pPr>
            <w:r>
              <w:rPr>
                <w:rFonts w:hint="eastAsia" w:ascii="宋体" w:hAnsi="宋体" w:cs="宋体"/>
                <w:b/>
                <w:kern w:val="0"/>
                <w:szCs w:val="21"/>
              </w:rPr>
              <w:t>一级指标</w:t>
            </w:r>
          </w:p>
        </w:tc>
        <w:tc>
          <w:tcPr>
            <w:tcW w:w="1170" w:type="dxa"/>
            <w:noWrap w:val="0"/>
            <w:vAlign w:val="center"/>
          </w:tcPr>
          <w:p>
            <w:pPr>
              <w:jc w:val="center"/>
              <w:textAlignment w:val="center"/>
              <w:rPr>
                <w:rFonts w:ascii="宋体" w:cs="宋体"/>
                <w:b/>
                <w:szCs w:val="21"/>
              </w:rPr>
            </w:pPr>
            <w:r>
              <w:rPr>
                <w:rFonts w:hint="eastAsia" w:ascii="宋体" w:hAnsi="宋体" w:cs="宋体"/>
                <w:b/>
                <w:kern w:val="0"/>
                <w:szCs w:val="21"/>
              </w:rPr>
              <w:t>二级指标</w:t>
            </w:r>
          </w:p>
        </w:tc>
        <w:tc>
          <w:tcPr>
            <w:tcW w:w="3675" w:type="dxa"/>
            <w:noWrap w:val="0"/>
            <w:vAlign w:val="center"/>
          </w:tcPr>
          <w:p>
            <w:pPr>
              <w:ind w:right="-107" w:rightChars="-51"/>
              <w:jc w:val="center"/>
              <w:textAlignment w:val="center"/>
              <w:rPr>
                <w:rFonts w:ascii="宋体" w:cs="宋体"/>
                <w:b/>
                <w:szCs w:val="21"/>
              </w:rPr>
            </w:pPr>
            <w:r>
              <w:rPr>
                <w:rFonts w:hint="eastAsia" w:ascii="宋体" w:hAnsi="宋体" w:cs="宋体"/>
                <w:b/>
                <w:kern w:val="0"/>
                <w:szCs w:val="21"/>
              </w:rPr>
              <w:t>三级指标</w:t>
            </w:r>
          </w:p>
        </w:tc>
        <w:tc>
          <w:tcPr>
            <w:tcW w:w="750" w:type="dxa"/>
            <w:noWrap w:val="0"/>
            <w:vAlign w:val="center"/>
          </w:tcPr>
          <w:p>
            <w:pPr>
              <w:ind w:right="-107" w:rightChars="-51"/>
              <w:textAlignment w:val="center"/>
              <w:rPr>
                <w:rFonts w:ascii="宋体" w:cs="宋体"/>
                <w:b/>
                <w:szCs w:val="21"/>
              </w:rPr>
            </w:pPr>
            <w:r>
              <w:rPr>
                <w:rFonts w:hint="eastAsia" w:ascii="宋体" w:hAnsi="宋体" w:cs="宋体"/>
                <w:b/>
                <w:szCs w:val="21"/>
              </w:rPr>
              <w:t>分值</w:t>
            </w:r>
          </w:p>
        </w:tc>
        <w:tc>
          <w:tcPr>
            <w:tcW w:w="3348" w:type="dxa"/>
            <w:noWrap w:val="0"/>
            <w:vAlign w:val="center"/>
          </w:tcPr>
          <w:p>
            <w:pPr>
              <w:jc w:val="center"/>
              <w:textAlignment w:val="center"/>
              <w:rPr>
                <w:rFonts w:ascii="宋体" w:cs="宋体"/>
                <w:b/>
                <w:kern w:val="0"/>
                <w:szCs w:val="21"/>
              </w:rPr>
            </w:pPr>
            <w:r>
              <w:rPr>
                <w:rFonts w:hint="eastAsia" w:ascii="宋体" w:hAnsi="宋体" w:cs="宋体"/>
                <w:b/>
                <w:szCs w:val="21"/>
              </w:rPr>
              <w:t>评分要点</w:t>
            </w:r>
          </w:p>
        </w:tc>
        <w:tc>
          <w:tcPr>
            <w:tcW w:w="1715" w:type="dxa"/>
            <w:noWrap w:val="0"/>
            <w:vAlign w:val="center"/>
          </w:tcPr>
          <w:p>
            <w:pPr>
              <w:spacing w:line="280" w:lineRule="exact"/>
              <w:jc w:val="center"/>
              <w:textAlignment w:val="center"/>
              <w:rPr>
                <w:rFonts w:hint="eastAsia" w:ascii="宋体" w:hAnsi="宋体" w:cs="宋体"/>
                <w:b/>
                <w:szCs w:val="21"/>
              </w:rPr>
            </w:pPr>
            <w:r>
              <w:rPr>
                <w:rFonts w:hint="eastAsia" w:ascii="宋体" w:hAnsi="宋体" w:cs="宋体"/>
                <w:b/>
                <w:szCs w:val="21"/>
              </w:rPr>
              <w:t>责任单位</w:t>
            </w:r>
          </w:p>
        </w:tc>
        <w:tc>
          <w:tcPr>
            <w:tcW w:w="1764" w:type="dxa"/>
            <w:noWrap w:val="0"/>
            <w:vAlign w:val="center"/>
          </w:tcPr>
          <w:p>
            <w:pPr>
              <w:spacing w:line="280" w:lineRule="exact"/>
              <w:textAlignment w:val="center"/>
              <w:rPr>
                <w:rFonts w:ascii="宋体" w:cs="宋体"/>
                <w:b/>
                <w:kern w:val="0"/>
                <w:szCs w:val="21"/>
              </w:rPr>
            </w:pPr>
            <w:r>
              <w:rPr>
                <w:rFonts w:hint="eastAsia" w:ascii="宋体" w:hAnsi="宋体" w:cs="宋体"/>
                <w:b/>
                <w:kern w:val="0"/>
                <w:szCs w:val="21"/>
              </w:rPr>
              <w:t>教体局责任科室</w:t>
            </w:r>
          </w:p>
        </w:tc>
        <w:tc>
          <w:tcPr>
            <w:tcW w:w="1299" w:type="dxa"/>
            <w:noWrap w:val="0"/>
            <w:vAlign w:val="center"/>
          </w:tcPr>
          <w:p>
            <w:pPr>
              <w:spacing w:line="280" w:lineRule="exact"/>
              <w:jc w:val="center"/>
              <w:textAlignment w:val="center"/>
              <w:rPr>
                <w:rFonts w:ascii="宋体" w:cs="宋体"/>
                <w:b/>
                <w:kern w:val="0"/>
                <w:szCs w:val="21"/>
              </w:rPr>
            </w:pPr>
            <w:r>
              <w:rPr>
                <w:rFonts w:hint="eastAsia" w:ascii="宋体" w:hAnsi="宋体" w:cs="宋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1245" w:type="dxa"/>
            <w:vMerge w:val="restart"/>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A6.</w:t>
            </w:r>
            <w:r>
              <w:rPr>
                <w:rFonts w:hint="eastAsia" w:ascii="仿宋_GB2312" w:hAnsi="宋体" w:eastAsia="仿宋_GB2312" w:cs="仿宋_GB2312"/>
                <w:kern w:val="0"/>
                <w:sz w:val="20"/>
                <w:szCs w:val="20"/>
              </w:rPr>
              <w:t>规范学校办学行为（</w:t>
            </w:r>
            <w:r>
              <w:rPr>
                <w:rFonts w:ascii="仿宋_GB2312" w:hAnsi="宋体" w:eastAsia="仿宋_GB2312" w:cs="仿宋_GB2312"/>
                <w:kern w:val="0"/>
                <w:sz w:val="20"/>
                <w:szCs w:val="20"/>
              </w:rPr>
              <w:t>8</w:t>
            </w:r>
            <w:r>
              <w:rPr>
                <w:rFonts w:hint="eastAsia" w:ascii="仿宋_GB2312" w:hAnsi="宋体" w:eastAsia="仿宋_GB2312" w:cs="仿宋_GB2312"/>
                <w:kern w:val="0"/>
                <w:sz w:val="20"/>
                <w:szCs w:val="20"/>
              </w:rPr>
              <w:t>分）</w:t>
            </w:r>
          </w:p>
        </w:tc>
        <w:tc>
          <w:tcPr>
            <w:tcW w:w="1170" w:type="dxa"/>
            <w:noWrap w:val="0"/>
            <w:vAlign w:val="center"/>
          </w:tcPr>
          <w:p>
            <w:pPr>
              <w:jc w:val="center"/>
              <w:textAlignment w:val="center"/>
              <w:rPr>
                <w:rFonts w:ascii="宋体" w:cs="宋体"/>
                <w:b/>
                <w:kern w:val="0"/>
                <w:szCs w:val="21"/>
              </w:rPr>
            </w:pPr>
            <w:r>
              <w:rPr>
                <w:rFonts w:ascii="仿宋_GB2312" w:hAnsi="宋体" w:eastAsia="仿宋_GB2312" w:cs="仿宋_GB2312"/>
                <w:kern w:val="0"/>
                <w:sz w:val="20"/>
                <w:szCs w:val="20"/>
              </w:rPr>
              <w:t>B24.</w:t>
            </w:r>
            <w:r>
              <w:rPr>
                <w:rFonts w:hint="eastAsia" w:ascii="仿宋_GB2312" w:hAnsi="宋体" w:eastAsia="仿宋_GB2312" w:cs="仿宋_GB2312"/>
                <w:kern w:val="0"/>
                <w:sz w:val="20"/>
                <w:szCs w:val="20"/>
              </w:rPr>
              <w:t>坚持正确办学方向，落实立德树人根本任务</w:t>
            </w:r>
          </w:p>
        </w:tc>
        <w:tc>
          <w:tcPr>
            <w:tcW w:w="367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C44.</w:t>
            </w:r>
            <w:r>
              <w:rPr>
                <w:rFonts w:hint="eastAsia" w:ascii="仿宋_GB2312" w:hAnsi="宋体" w:eastAsia="仿宋_GB2312" w:cs="仿宋_GB2312"/>
                <w:kern w:val="0"/>
                <w:sz w:val="20"/>
                <w:szCs w:val="20"/>
              </w:rPr>
              <w:t>健全立德树人落实机制，扭转不科学的教育评价导向，在坚决克服“五唯”问题、从根本上解决教育评价指挥棒问题有实招、有效果。政府及教育行政主管部门不向学校下达升学指标，不依据中高考成绩给学校排名。县（市、区）</w:t>
            </w:r>
            <w:r>
              <w:rPr>
                <w:rStyle w:val="6"/>
                <w:rFonts w:hint="eastAsia" w:cs="仿宋_GB2312"/>
                <w:color w:val="auto"/>
                <w:szCs w:val="20"/>
              </w:rPr>
              <w:t>党委、政府没有以升学率（考取重点大学人数等）对所辖区教育行政部门和学校进行奖惩的现象。</w:t>
            </w:r>
            <w:r>
              <w:rPr>
                <w:rFonts w:hint="eastAsia" w:ascii="仿宋_GB2312" w:hAnsi="宋体" w:eastAsia="仿宋_GB2312" w:cs="仿宋_GB2312"/>
                <w:kern w:val="0"/>
                <w:sz w:val="20"/>
                <w:szCs w:val="20"/>
              </w:rPr>
              <w:t>不断提升学生身体健康水平，努力构建德智体美劳全面培养的教育体系。</w:t>
            </w:r>
          </w:p>
        </w:tc>
        <w:tc>
          <w:tcPr>
            <w:tcW w:w="750" w:type="dxa"/>
            <w:noWrap w:val="0"/>
            <w:vAlign w:val="center"/>
          </w:tcPr>
          <w:p>
            <w:pPr>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4</w:t>
            </w:r>
          </w:p>
        </w:tc>
        <w:tc>
          <w:tcPr>
            <w:tcW w:w="3348" w:type="dxa"/>
            <w:noWrap w:val="0"/>
            <w:vAlign w:val="center"/>
          </w:tcPr>
          <w:p>
            <w:pPr>
              <w:spacing w:line="280" w:lineRule="exact"/>
              <w:rPr>
                <w:rFonts w:ascii="仿宋_GB2312" w:hAnsi="仿宋_GB2312" w:eastAsia="仿宋_GB2312" w:cs="仿宋_GB2312"/>
                <w:kern w:val="0"/>
                <w:sz w:val="20"/>
                <w:szCs w:val="20"/>
              </w:rPr>
            </w:pPr>
            <w:r>
              <w:rPr>
                <w:rFonts w:hint="eastAsia" w:ascii="仿宋_GB2312" w:hAnsi="宋体" w:eastAsia="仿宋_GB2312" w:cs="仿宋_GB2312"/>
                <w:kern w:val="0"/>
                <w:sz w:val="20"/>
                <w:szCs w:val="20"/>
              </w:rPr>
              <w:t>查阅资料、实地核查、走访座谈，教育评价导向不科学的扣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分；向学校下达升学指标、依据中高考成绩给学校排名的各扣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分；义务教育阶段学校设置重点班、特色班扣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分；体育活动时间不达标、开未设劳动教育课的各扣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分；未构建德智体美劳全面培养的教育体系扣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71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76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 研 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体育中心</w:t>
            </w:r>
          </w:p>
        </w:tc>
        <w:tc>
          <w:tcPr>
            <w:tcW w:w="1299" w:type="dxa"/>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1245" w:type="dxa"/>
            <w:vMerge w:val="continue"/>
            <w:noWrap w:val="0"/>
            <w:vAlign w:val="center"/>
          </w:tcPr>
          <w:p>
            <w:pPr>
              <w:jc w:val="center"/>
              <w:textAlignment w:val="center"/>
              <w:rPr>
                <w:rFonts w:ascii="宋体" w:cs="宋体"/>
                <w:b/>
                <w:kern w:val="0"/>
                <w:szCs w:val="21"/>
              </w:rPr>
            </w:pPr>
          </w:p>
        </w:tc>
        <w:tc>
          <w:tcPr>
            <w:tcW w:w="1170"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B25.</w:t>
            </w:r>
            <w:r>
              <w:rPr>
                <w:rFonts w:hint="eastAsia" w:ascii="仿宋_GB2312" w:hAnsi="宋体" w:eastAsia="仿宋_GB2312" w:cs="仿宋_GB2312"/>
                <w:kern w:val="0"/>
                <w:sz w:val="20"/>
                <w:szCs w:val="20"/>
              </w:rPr>
              <w:t>完善学校管理制度，促进教育公平</w:t>
            </w:r>
          </w:p>
        </w:tc>
        <w:tc>
          <w:tcPr>
            <w:tcW w:w="3675" w:type="dxa"/>
            <w:noWrap w:val="0"/>
            <w:vAlign w:val="center"/>
          </w:tcPr>
          <w:p>
            <w:pPr>
              <w:textAlignment w:val="center"/>
              <w:rPr>
                <w:rFonts w:ascii="仿宋_GB2312" w:hAnsi="宋体" w:eastAsia="仿宋_GB2312" w:cs="仿宋_GB2312"/>
                <w:kern w:val="0"/>
                <w:sz w:val="20"/>
                <w:szCs w:val="20"/>
              </w:rPr>
            </w:pPr>
            <w:r>
              <w:rPr>
                <w:rFonts w:ascii="仿宋_GB2312" w:hAnsi="宋体" w:eastAsia="仿宋_GB2312" w:cs="仿宋_GB2312"/>
                <w:kern w:val="0"/>
                <w:sz w:val="20"/>
                <w:szCs w:val="20"/>
              </w:rPr>
              <w:t>C45.</w:t>
            </w:r>
            <w:r>
              <w:rPr>
                <w:rFonts w:hint="eastAsia" w:ascii="仿宋_GB2312" w:hAnsi="宋体" w:eastAsia="仿宋_GB2312" w:cs="仿宋_GB2312"/>
                <w:kern w:val="0"/>
                <w:sz w:val="20"/>
                <w:szCs w:val="20"/>
              </w:rPr>
              <w:t>严格执行国家和自治区有关招生政策，义务教育阶段公办学校免试就近入学。不以各类等级证书、社会培训证书为依据录取学生，公办、民办普通高中无超范围、超计划招生现象。</w:t>
            </w:r>
          </w:p>
        </w:tc>
        <w:tc>
          <w:tcPr>
            <w:tcW w:w="750" w:type="dxa"/>
            <w:noWrap w:val="0"/>
            <w:vAlign w:val="center"/>
          </w:tcPr>
          <w:p>
            <w:pPr>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2</w:t>
            </w:r>
          </w:p>
        </w:tc>
        <w:tc>
          <w:tcPr>
            <w:tcW w:w="3348" w:type="dxa"/>
            <w:noWrap w:val="0"/>
            <w:vAlign w:val="center"/>
          </w:tcPr>
          <w:p>
            <w:pPr>
              <w:spacing w:line="280" w:lineRule="exact"/>
              <w:rPr>
                <w:rFonts w:ascii="仿宋_GB2312" w:hAnsi="仿宋_GB2312" w:eastAsia="仿宋_GB2312" w:cs="仿宋_GB2312"/>
                <w:kern w:val="0"/>
                <w:sz w:val="20"/>
                <w:szCs w:val="20"/>
              </w:rPr>
            </w:pPr>
            <w:r>
              <w:rPr>
                <w:rFonts w:hint="eastAsia" w:ascii="仿宋_GB2312" w:hAnsi="宋体" w:eastAsia="仿宋_GB2312" w:cs="仿宋_GB2312"/>
                <w:kern w:val="0"/>
                <w:sz w:val="20"/>
                <w:szCs w:val="20"/>
              </w:rPr>
              <w:t>查阅资料、实地核查、走访座谈，未严格落实公办学校免试就近入学扣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分；存在以各类等级证书、社会培训证书为依据录取学生的扣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分；公办普通高中出现超范围、超计划招生现象的扣</w:t>
            </w:r>
            <w:r>
              <w:rPr>
                <w:rFonts w:ascii="仿宋_GB2312" w:hAnsi="宋体" w:eastAsia="仿宋_GB2312" w:cs="仿宋_GB2312"/>
                <w:kern w:val="0"/>
                <w:sz w:val="20"/>
                <w:szCs w:val="20"/>
              </w:rPr>
              <w:t>0.2</w:t>
            </w:r>
            <w:r>
              <w:rPr>
                <w:rFonts w:hint="eastAsia" w:ascii="仿宋_GB2312" w:hAnsi="宋体" w:eastAsia="仿宋_GB2312" w:cs="仿宋_GB2312"/>
                <w:kern w:val="0"/>
                <w:sz w:val="20"/>
                <w:szCs w:val="20"/>
              </w:rPr>
              <w:t>分。</w:t>
            </w:r>
          </w:p>
        </w:tc>
        <w:tc>
          <w:tcPr>
            <w:tcW w:w="1715"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县教育工作领导小组、教体局</w:t>
            </w:r>
          </w:p>
        </w:tc>
        <w:tc>
          <w:tcPr>
            <w:tcW w:w="176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教育管理室</w:t>
            </w:r>
          </w:p>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考试中心</w:t>
            </w:r>
          </w:p>
        </w:tc>
        <w:tc>
          <w:tcPr>
            <w:tcW w:w="1299" w:type="dxa"/>
            <w:noWrap w:val="0"/>
            <w:vAlign w:val="center"/>
          </w:tcPr>
          <w:p>
            <w:pPr>
              <w:jc w:val="center"/>
              <w:rPr>
                <w:rFonts w:hint="eastAsia" w:ascii="仿宋_GB2312" w:hAnsi="仿宋_GB2312" w:eastAsia="仿宋_GB2312" w:cs="仿宋_GB2312"/>
                <w:b/>
                <w:bCs/>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55592"/>
    <w:rsid w:val="1F57655F"/>
    <w:rsid w:val="25255592"/>
    <w:rsid w:val="34BB16C7"/>
    <w:rsid w:val="42895434"/>
    <w:rsid w:val="4B891AA4"/>
    <w:rsid w:val="4C5F40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font51"/>
    <w:uiPriority w:val="0"/>
    <w:rPr>
      <w:rFonts w:ascii="仿宋_GB2312" w:hAnsi="Times New Roman" w:eastAsia="仿宋_GB2312"/>
      <w:color w:val="000000"/>
      <w:sz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2019-09-30T03:18:00Z</dcterms:created>
  <dc:creator>凉凉</dc:creator>
  <cp:lastModifiedBy>Administrator</cp:lastModifiedBy>
  <dcterms:modified xsi:type="dcterms:W3CDTF">2020-09-18T01:53:04Z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