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00" w:lineRule="exact"/>
        <w:rPr>
          <w:rFonts w:ascii="方正黑体_GBK" w:hAnsi="Times New Roman" w:eastAsia="方正黑体_GBK" w:cs="Times New Roman"/>
          <w:color w:val="000000"/>
          <w:spacing w:val="-2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spacing w:val="-2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方正仿宋_GBK" w:cs="Times New Roman"/>
          <w:color w:val="000000"/>
          <w:spacing w:val="-20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关于呈报平罗县五宗国有建设用地</w:t>
      </w:r>
    </w:p>
    <w:p>
      <w:pPr>
        <w:adjustRightInd w:val="0"/>
        <w:snapToGrid w:val="0"/>
        <w:spacing w:line="620" w:lineRule="exact"/>
        <w:jc w:val="center"/>
        <w:rPr>
          <w:rFonts w:ascii="方正小标宋_GBK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kern w:val="0"/>
          <w:sz w:val="44"/>
          <w:szCs w:val="44"/>
        </w:rPr>
        <w:t>使用权出让实施方案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（一）平地（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575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0.86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占用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575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号）文件批准为国有建设用地，土地界址清楚，权属明确。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3-3B#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地块内，东邻黄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河路，南邻宁夏平罗工业园区（红崖子园）综合服务区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地块，西邻宁夏平罗工业园区（红崖子园）综合服务区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地块，净地出让。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号）的规划设计条件，该宗地土地使用性质为商服用地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≤1.5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≤50%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土地出让年限、建设时间。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出让宗地价格、竞买保证金。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11.50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0.3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11.50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（二）平地（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-21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1491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2.24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亩），占用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1491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号）文件批准为国有建设用地，土地界址清楚，权属明确。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3-3C#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地块内，东邻黄河路，南邻宁夏平罗工业园区（红崖子园）综合服务区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地块，西邻宁夏平罗工业园区（红崖子园）综合服务区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地块，净地出让。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号）的规划设计条件，该宗地土地使用性质为商服用地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≤1.5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≤50%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土地出让年限、建设时间。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出让宗地价格、竞买保证金。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29.82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0.8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29.82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（三）平地（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-26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2104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3.16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亩），占用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2104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号）文件批准为国有建设用地，土地界址清楚，权属明确。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3-3D#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地块，南邻都思图河西路，西邻宁夏平罗工业园区（红崖子园）综合服务区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3-1A#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地块，净地出让。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号）的规划设计条件，该宗地土地使用性质为商服用地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≤1.5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≤50%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土地出让年限、建设时间。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出让宗地价格、竞买保证金。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42.08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42.08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（四）平地（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-27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5259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7.89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亩），占用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未利用地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5259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号）文件批准为国有建设用地，土地界址清楚，权属明确。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3-3E#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地块内，东邻黄河路，南邻都思图河西路，西邻宁夏平罗工业园区（红崖子园）综合服务区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地块，北邻宁夏平罗工业园区（红崖子园）综合服务区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3-3A#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地块，净地出让。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号）的规划设计条件，该宗地土地使用性质为商服用地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≤1.5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≤50%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土地出让年限、建设时间。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40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年。自取得土地使用权之日起两年建设完成。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出让宗地价格、竞买保证金。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106.76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3.2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106.76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方正楷体_GBK" w:hAnsi="Times New Roman" w:eastAsia="方正楷体_GBK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（五）平地（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G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）〔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〕</w:t>
      </w:r>
      <w:r>
        <w:rPr>
          <w:rFonts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-25</w:t>
      </w:r>
      <w:r>
        <w:rPr>
          <w:rFonts w:hint="eastAsia" w:ascii="方正楷体_GBK" w:hAnsi="Times New Roman" w:eastAsia="方正楷体_GBK" w:cs="方正楷体_GBK"/>
          <w:b/>
          <w:bCs/>
          <w:color w:val="000000"/>
          <w:kern w:val="0"/>
          <w:sz w:val="32"/>
          <w:szCs w:val="32"/>
          <w:lang w:val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24331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36.50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亩）全部为国有存量建设用地，土地界址清楚，权属明确。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该宗地位于宁夏平罗工业园区（崇岗园）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12-2#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地块内，东邻崇秀路，南邻未利用地，西邻宁夏鹏兴丰泰环保科技有限公司，北邻平罗县金浩源煤业有限公司，净地出让。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2022-038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号）的规划设计条件，该宗地土地使用性质为工业用地（非金属矿物制品业）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其他建设规划设计条件为：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≥1.1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≥30%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≤20%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行政办公及生活服务设施所占比重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≤7%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土地出让年限、建设时间。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根据《中华人民共和国城镇国有土地使用权出让和转让暂行条例》的规定，该宗地出让年限为：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年。自取得土地使用权之日起一年建设完成。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出让宗地价格、竞买保证金。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号令）的规定，委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平方米。经集体研究决定，建议该宗地以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平方米出让，该宗地出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让起始价（或起叫价）为￥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180.05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增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价幅度为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5.5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元及其整数倍，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180.05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700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本方案报经平罗县人民政府批准后，按照《宁夏回族自治区土地使用权和矿业权交易市场管理办法》《宁夏回族自治区国有建设用地使用权网上交易办法》的规定组织出让。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竞买人在宁夏回族自治区土地和矿业权网上交易系统参加竞买，以出价高者取得的原则确认竞得人。办理成交手续后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持《成交通知书》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以上宗地出让须单独申请竞买。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公开出让总价款不含契税等其它规费。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以上宗地地上、地下未知管线由竞得人自行迁移。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420" w:firstLineChars="200"/>
        <w:textAlignment w:val="auto"/>
      </w:pPr>
    </w:p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1B883C6E"/>
    <w:rsid w:val="0B4E5BBB"/>
    <w:rsid w:val="1B883C6E"/>
    <w:rsid w:val="248B0E8F"/>
    <w:rsid w:val="4E50267E"/>
    <w:rsid w:val="5257047F"/>
    <w:rsid w:val="6D4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3019</Words>
  <Characters>3373</Characters>
  <Lines>0</Lines>
  <Paragraphs>0</Paragraphs>
  <TotalTime>5</TotalTime>
  <ScaleCrop>false</ScaleCrop>
  <LinksUpToDate>false</LinksUpToDate>
  <CharactersWithSpaces>3378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2022-09-06T09:15:00Z</dcterms:created>
  <dc:creator>糖果</dc:creator>
  <cp:lastModifiedBy>糖果</cp:lastModifiedBy>
  <dcterms:modified xsi:type="dcterms:W3CDTF">2022-09-06T09:21:53Z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D7E8D27E78F54261B313CE9297A3613C</vt:lpwstr>
  </property>
</Properties>
</file>