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beforeLines="50" w:afterLines="50" w:line="560" w:lineRule="exact"/>
        <w:jc w:val="center"/>
        <w:rPr>
          <w:rFonts w:ascii="方正小标宋_GBK" w:hAnsi="Times New Roman" w:eastAsia="方正小标宋_GBK" w:cs="Times New Roman"/>
          <w:color w:val="000000"/>
          <w:kern w:val="44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color w:val="000000"/>
          <w:kern w:val="44"/>
          <w:sz w:val="44"/>
          <w:szCs w:val="44"/>
        </w:rPr>
        <w:t>遥感调查与测评基础材料内容与要求</w:t>
      </w:r>
    </w:p>
    <w:bookmarkEnd w:id="0"/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247"/>
        <w:gridCol w:w="6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625" w:type="dxa"/>
            <w:shd w:val="clear" w:color="auto" w:fill="FFFFFF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黑体_GBK" w:eastAsia="方正黑体_GBK" w:cs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47" w:type="dxa"/>
            <w:shd w:val="clear" w:color="auto" w:fill="FFFFFF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黑体_GBK" w:eastAsia="方正黑体_GBK" w:cs="方正黑体_GBK"/>
                <w:color w:val="000000"/>
                <w:sz w:val="24"/>
                <w:szCs w:val="24"/>
              </w:rPr>
              <w:t>基础资料内容</w:t>
            </w:r>
          </w:p>
        </w:tc>
        <w:tc>
          <w:tcPr>
            <w:tcW w:w="6168" w:type="dxa"/>
            <w:shd w:val="clear" w:color="auto" w:fill="FFFFFF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黑体_GBK" w:eastAsia="方正黑体_GBK" w:cs="方正黑体_GBK"/>
                <w:color w:val="00000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城市（县）地形图</w:t>
            </w:r>
          </w:p>
        </w:tc>
        <w:tc>
          <w:tcPr>
            <w:tcW w:w="616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图件比例尺：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1:5000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1:10000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地形图范围大于城市建成区范围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涉密地形图应进行脱秘处理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城市（县）及建成区范围图</w:t>
            </w:r>
          </w:p>
        </w:tc>
        <w:tc>
          <w:tcPr>
            <w:tcW w:w="616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建成区是城市（县）行政区内实际已成片开发建设、市政公用设施和公共设施基本具备的区域。城市建成区界线的划定应符合城市总体规划要求，不能突破城市规划建设用地的范围，且形态相对完整。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城市及建成区范围图纸一式两份，直辖市由市人民政府加盖公章，其它城市需同时由市人民政府和省级住房和城乡建设（园林绿化）主管部门加盖公章。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图件底图：总体规划图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建成区面积、人口说明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城市（县）各城区的建成区面积，以及各城区建成区内的城区人口和暂住人口数量纸质说明材料；一式两份。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直辖市由市人民政府加盖公章；其它城市需同时由市人民政府和省级住房和城乡建设（园林绿化）主管部门加盖公章。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城市（县）土地用地分类图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城市划定并公布的土地用地分类图，并有明确坐标。同时提交纸质及电子文件，电子图件格式：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城市（县）绿地系统规划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文本及附图集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经审批、正在实施的《城市（县）绿地系统规划》。同时提交纸质及电子文件，电子图件格式：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城市（县）步行道、自行车道、林荫路位置图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包括步行道、自行车道、林荫路位置分布图。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城市（县）绿线位置图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城市划定并公布的绿线位置及范围，并有明确坐标。同时提交纸质及电子文件，电子图件格式：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城市（县）蓝线位置图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城市划定并公布的蓝线位置及范围，并有明确坐标。同时提交纸质及电子文件，电子图件格式：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建成区内公园绿地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分布图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依据《城市绿地分类标准》，标明各类公园绿地名称、位置及面积。同时提交纸质及电子文件，电子图件格式：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建成区内历史文化街区位置及分布范围图（如有，需提供）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国家历史文化名城的历史文化街区范围图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建成区内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2002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年（含）以来新建、改建居住区（小区）位置及分布范围图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图件底图：城市（县）地形图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建成区内园林式居住区（单位）位置及分布范围图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图件底图：城市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（县）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建成区内规划防护绿地位置及分布范围图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如绿地系统规划中已明确，可不另报。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图件底图：城市（县）地形图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建成区内主次干道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位置分布图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图件底图：城市（县）地形图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建成区内古树名木分布图（如有，需提供）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图件底图：城市（县）地形图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建成区内受损弃置地位置图（如有，需提供）</w:t>
            </w:r>
          </w:p>
        </w:tc>
        <w:tc>
          <w:tcPr>
            <w:tcW w:w="6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图件底图：城市（县）地形图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同时提交纸质及电子文件，电子图件格式：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dwg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JPEG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4"/>
                <w:szCs w:val="24"/>
              </w:rPr>
              <w:t>格式。</w:t>
            </w:r>
          </w:p>
        </w:tc>
      </w:tr>
    </w:tbl>
    <w:p>
      <w:pPr>
        <w:pStyle w:val="2"/>
        <w:adjustRightInd w:val="0"/>
        <w:snapToGrid w:val="0"/>
        <w:spacing w:after="0" w:line="240" w:lineRule="exact"/>
        <w:ind w:left="0" w:leftChars="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pStyle w:val="2"/>
        <w:adjustRightInd w:val="0"/>
        <w:snapToGrid w:val="0"/>
        <w:spacing w:after="0" w:line="360" w:lineRule="auto"/>
        <w:ind w:left="0" w:leftChars="0"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Times New Roman" w:hAnsi="仿宋_GB2312" w:eastAsia="仿宋_GB2312" w:cs="仿宋_GB2312"/>
          <w:color w:val="000000"/>
          <w:sz w:val="24"/>
          <w:szCs w:val="24"/>
        </w:rPr>
        <w:t>备注：遥感调查与测评基础资料中涉及的数据一律以申报年印发的《中国城市建设统计年鉴》和《中国县城建设统计年鉴》数据为准。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8244E53"/>
    <w:rsid w:val="082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2022-09-06T02:39:00Z</dcterms:created>
  <dc:creator>糖果</dc:creator>
  <cp:lastModifiedBy>糖果</cp:lastModifiedBy>
  <dcterms:modified xsi:type="dcterms:W3CDTF">2022-09-06T02:40:39Z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DA608F6B0F324F9DAC5DFBFAA8E5CA42</vt:lpwstr>
  </property>
</Properties>
</file>