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DB8E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pacing w:val="-11"/>
          <w:sz w:val="44"/>
          <w:szCs w:val="44"/>
          <w:lang w:val="en-US" w:eastAsia="zh-CN"/>
        </w:rPr>
      </w:pPr>
      <w:r>
        <w:rPr>
          <w:rFonts w:hint="eastAsia" w:ascii="方正小标宋简体" w:hAnsi="方正小标宋简体" w:eastAsia="方正小标宋简体" w:cs="方正小标宋简体"/>
          <w:spacing w:val="-11"/>
          <w:sz w:val="44"/>
          <w:szCs w:val="44"/>
          <w:lang w:val="en-US" w:eastAsia="zh-CN"/>
        </w:rPr>
        <w:t>平罗县宝丰镇2024年度法治政府建设</w:t>
      </w:r>
    </w:p>
    <w:p w14:paraId="0B1E98D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lang w:val="en" w:eastAsia="zh-CN"/>
        </w:rPr>
      </w:pPr>
      <w:r>
        <w:rPr>
          <w:rFonts w:hint="eastAsia" w:ascii="方正小标宋简体" w:hAnsi="方正小标宋简体" w:eastAsia="方正小标宋简体" w:cs="方正小标宋简体"/>
          <w:spacing w:val="-11"/>
          <w:sz w:val="44"/>
          <w:szCs w:val="44"/>
          <w:lang w:val="en-US" w:eastAsia="zh-CN"/>
        </w:rPr>
        <w:t>年度报告</w:t>
      </w:r>
    </w:p>
    <w:p w14:paraId="27DA849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auto"/>
          <w:kern w:val="2"/>
          <w:sz w:val="32"/>
          <w:szCs w:val="32"/>
          <w:lang w:val="en-US" w:eastAsia="zh-CN" w:bidi="ar-SA"/>
        </w:rPr>
      </w:pPr>
    </w:p>
    <w:p w14:paraId="4C03BE2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2024年以来，在县委、县政府</w:t>
      </w:r>
      <w:r>
        <w:rPr>
          <w:rFonts w:hint="eastAsia" w:ascii="仿宋_GB2312" w:hAnsi="仿宋_GB2312" w:eastAsia="仿宋_GB2312" w:cs="仿宋_GB2312"/>
          <w:sz w:val="32"/>
          <w:szCs w:val="32"/>
        </w:rPr>
        <w:t>的正确领导下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宝丰镇</w:t>
      </w:r>
      <w:r>
        <w:rPr>
          <w:rFonts w:hint="eastAsia" w:ascii="仿宋_GB2312" w:hAnsi="仿宋_GB2312" w:eastAsia="仿宋_GB2312" w:cs="仿宋_GB2312"/>
          <w:sz w:val="32"/>
          <w:szCs w:val="32"/>
          <w:lang w:eastAsia="zh-CN"/>
        </w:rPr>
        <w:t>坚持以习近平新时代中国特色社会主义思想为指导，认真学习贯彻落实习近平法治思想，紧紧围绕法治建设各项目标任务，</w:t>
      </w:r>
      <w:r>
        <w:rPr>
          <w:rFonts w:hint="eastAsia" w:ascii="仿宋_GB2312" w:hAnsi="仿宋_GB2312" w:eastAsia="仿宋_GB2312" w:cs="仿宋_GB2312"/>
          <w:sz w:val="32"/>
          <w:szCs w:val="32"/>
        </w:rPr>
        <w:t>坚持依法决策、依法行政、依法治理，不断提高法治</w:t>
      </w:r>
      <w:r>
        <w:rPr>
          <w:rFonts w:hint="eastAsia" w:ascii="仿宋_GB2312" w:hAnsi="仿宋_GB2312" w:eastAsia="仿宋_GB2312" w:cs="仿宋_GB2312"/>
          <w:sz w:val="32"/>
          <w:szCs w:val="32"/>
          <w:lang w:val="en-US" w:eastAsia="zh-CN"/>
        </w:rPr>
        <w:t>化</w:t>
      </w:r>
      <w:r>
        <w:rPr>
          <w:rFonts w:hint="eastAsia" w:ascii="仿宋_GB2312" w:hAnsi="仿宋_GB2312" w:eastAsia="仿宋_GB2312" w:cs="仿宋_GB2312"/>
          <w:sz w:val="32"/>
          <w:szCs w:val="32"/>
        </w:rPr>
        <w:t>建设水平，</w:t>
      </w:r>
      <w:r>
        <w:rPr>
          <w:rFonts w:hint="eastAsia" w:ascii="仿宋_GB2312" w:hAnsi="仿宋_GB2312" w:eastAsia="仿宋_GB2312" w:cs="仿宋_GB2312"/>
          <w:sz w:val="32"/>
          <w:szCs w:val="32"/>
          <w:lang w:val="en-US" w:eastAsia="zh-CN"/>
        </w:rPr>
        <w:t>为全镇经济社会发展营造了良好的法治环境。现将本年度法治政府建设工作总结如下：</w:t>
      </w:r>
    </w:p>
    <w:p w14:paraId="714EC9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 w:hAnsi="楷体" w:eastAsia="楷体" w:cs="楷体"/>
          <w:b/>
          <w:bCs/>
          <w:color w:val="auto"/>
          <w:kern w:val="2"/>
          <w:sz w:val="32"/>
          <w:szCs w:val="32"/>
          <w:lang w:val="en-US" w:eastAsia="zh-CN" w:bidi="ar-SA"/>
        </w:rPr>
      </w:pPr>
      <w:r>
        <w:rPr>
          <w:rFonts w:hint="eastAsia" w:ascii="黑体" w:hAnsi="黑体" w:eastAsia="黑体" w:cs="黑体"/>
          <w:b w:val="0"/>
          <w:bCs w:val="0"/>
          <w:kern w:val="2"/>
          <w:sz w:val="32"/>
          <w:szCs w:val="32"/>
          <w:lang w:val="en-US" w:eastAsia="zh-CN" w:bidi="ar-SA"/>
        </w:rPr>
        <w:t>一、</w:t>
      </w:r>
      <w:r>
        <w:rPr>
          <w:rFonts w:ascii="黑体" w:hAnsi="宋体" w:eastAsia="黑体" w:cs="黑体"/>
          <w:kern w:val="0"/>
          <w:sz w:val="32"/>
          <w:szCs w:val="32"/>
          <w:lang w:val="en-US" w:eastAsia="zh-CN" w:bidi="ar"/>
        </w:rPr>
        <w:t>202</w:t>
      </w:r>
      <w:r>
        <w:rPr>
          <w:rFonts w:hint="eastAsia" w:ascii="黑体" w:hAnsi="宋体" w:eastAsia="黑体" w:cs="黑体"/>
          <w:kern w:val="0"/>
          <w:sz w:val="32"/>
          <w:szCs w:val="32"/>
          <w:lang w:val="en-US" w:eastAsia="zh-CN" w:bidi="ar"/>
        </w:rPr>
        <w:t>4年度法治政府建设主要工作举措及成效</w:t>
      </w:r>
    </w:p>
    <w:p w14:paraId="1EDDB096">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楷体" w:hAnsi="楷体" w:eastAsia="楷体" w:cs="楷体"/>
          <w:b/>
          <w:bCs/>
          <w:kern w:val="2"/>
          <w:sz w:val="32"/>
          <w:szCs w:val="32"/>
          <w:lang w:val="en-US" w:eastAsia="zh-CN" w:bidi="ar-SA"/>
        </w:rPr>
        <w:t>（一）落实党政主要负责人履行法治建设第一责任人职责</w:t>
      </w:r>
      <w:r>
        <w:rPr>
          <w:rFonts w:hint="eastAsia" w:ascii="楷体" w:hAnsi="楷体" w:eastAsia="楷体" w:cs="楷体"/>
          <w:b/>
          <w:bCs/>
          <w:color w:val="000000"/>
          <w:kern w:val="2"/>
          <w:sz w:val="32"/>
          <w:szCs w:val="32"/>
          <w:lang w:val="en-US" w:eastAsia="zh-CN" w:bidi="ar-SA"/>
        </w:rPr>
        <w:t>。</w:t>
      </w:r>
      <w:r>
        <w:rPr>
          <w:rFonts w:hint="eastAsia" w:ascii="仿宋_GB2312" w:hAnsi="宋体" w:eastAsia="仿宋_GB2312" w:cs="Times New Roman"/>
          <w:sz w:val="32"/>
          <w:szCs w:val="32"/>
          <w:lang w:val="en-US" w:eastAsia="zh-CN"/>
        </w:rPr>
        <w:t>镇党委、政府高度重视，将法治建设工作纳入年度工作计划中，制定方案，进一步细化依法行政工作任务，结合本镇实际，制定年度法治政府、普法依法治理等工作方案，全面深入推进依法行政工作，始终坚持把依法行政当作构建和谐社会、建设法治政府的重大举措来推动落实。根据领导干部岗位变动及时调整宝丰镇法治建设工作领导小组成员，形成主要领导负责抓，分管领导具体抓，各中心（办）协同抓的工作格局。</w:t>
      </w:r>
      <w:r>
        <w:rPr>
          <w:rFonts w:hint="eastAsia" w:ascii="仿宋_GB2312" w:hAnsi="宋体" w:eastAsia="仿宋_GB2312" w:cs="仿宋_GB2312"/>
          <w:color w:val="auto"/>
          <w:kern w:val="0"/>
          <w:sz w:val="32"/>
          <w:szCs w:val="32"/>
          <w:lang w:val="en-US" w:eastAsia="zh-CN" w:bidi="ar"/>
        </w:rPr>
        <w:t>镇党政主要负责人切实履行推进法治政府建设“第一责任人”职责，始终坚持“党委统一领导，党政齐抓共管”的原则，作为一项重要的政治任务，全面做好法治政府建设工作。同时，党委会定期听取法治建设工作情况汇报，及时研究解决有关重大问题，并将镇领导班子成员法治学习教育、重大事项依法决策、依法履职情况等列入年终述职内容。今年以来镇党委会研究部署依法治县和法治政府工作4次。</w:t>
      </w:r>
    </w:p>
    <w:p w14:paraId="66C5042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（二）扎实推动学习习近平法治思想走深走实。一是</w:t>
      </w:r>
      <w:r>
        <w:rPr>
          <w:rFonts w:hint="eastAsia" w:ascii="仿宋_GB2312" w:hAnsi="仿宋_GB2312" w:eastAsia="仿宋_GB2312" w:cs="仿宋_GB2312"/>
          <w:sz w:val="32"/>
          <w:szCs w:val="32"/>
          <w:lang w:val="en-US" w:eastAsia="zh-CN"/>
        </w:rPr>
        <w:t>安排部署学习贯彻习近平法治思想</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z w:val="32"/>
          <w:szCs w:val="32"/>
          <w:lang w:val="en-US" w:eastAsia="zh-CN"/>
        </w:rPr>
        <w:t>将学习习近平法治思想纵向推进落到实处</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color w:val="000000"/>
          <w:sz w:val="32"/>
          <w:szCs w:val="32"/>
          <w:lang w:eastAsia="zh-CN"/>
        </w:rPr>
        <w:t>通过不定期</w:t>
      </w:r>
      <w:r>
        <w:rPr>
          <w:rFonts w:hint="eastAsia" w:ascii="仿宋" w:hAnsi="仿宋" w:eastAsia="仿宋" w:cs="仿宋"/>
          <w:sz w:val="32"/>
          <w:szCs w:val="32"/>
          <w:lang w:val="en-US" w:eastAsia="zh-CN"/>
        </w:rPr>
        <w:t>举</w:t>
      </w:r>
      <w:r>
        <w:rPr>
          <w:rFonts w:hint="eastAsia" w:ascii="仿宋_GB2312" w:hAnsi="仿宋_GB2312" w:eastAsia="仿宋_GB2312" w:cs="仿宋_GB2312"/>
          <w:sz w:val="32"/>
          <w:szCs w:val="32"/>
          <w:lang w:val="en-US" w:eastAsia="zh-CN"/>
        </w:rPr>
        <w:t>办领导干部学习贯彻习近平法治思想专题研讨班，健全完善党委理论学习中心组学习习近平法治思想常态化机制等措施。</w:t>
      </w:r>
      <w:r>
        <w:rPr>
          <w:rFonts w:hint="eastAsia" w:ascii="仿宋_GB2312" w:hAnsi="仿宋_GB2312" w:eastAsia="仿宋_GB2312" w:cs="仿宋_GB2312"/>
          <w:b w:val="0"/>
          <w:bCs w:val="0"/>
          <w:color w:val="auto"/>
          <w:sz w:val="32"/>
          <w:szCs w:val="32"/>
          <w:lang w:val="en-US" w:eastAsia="zh-CN"/>
        </w:rPr>
        <w:t>2024年</w:t>
      </w:r>
      <w:r>
        <w:rPr>
          <w:rFonts w:hint="eastAsia" w:ascii="仿宋_GB2312" w:hAnsi="仿宋_GB2312" w:eastAsia="仿宋_GB2312" w:cs="仿宋_GB2312"/>
          <w:color w:val="auto"/>
          <w:kern w:val="2"/>
          <w:sz w:val="32"/>
          <w:szCs w:val="32"/>
          <w:lang w:val="en-US" w:eastAsia="zh-CN" w:bidi="ar-SA"/>
        </w:rPr>
        <w:t>制定并下发</w:t>
      </w:r>
      <w:r>
        <w:rPr>
          <w:rFonts w:hint="eastAsia" w:ascii="仿宋_GB2312" w:hAnsi="仿宋_GB2312" w:eastAsia="仿宋_GB2312" w:cs="仿宋_GB2312"/>
          <w:b w:val="0"/>
          <w:bCs w:val="0"/>
          <w:color w:val="auto"/>
          <w:kern w:val="2"/>
          <w:sz w:val="32"/>
          <w:szCs w:val="32"/>
          <w:lang w:val="en-US" w:eastAsia="zh-CN" w:bidi="ar-SA"/>
        </w:rPr>
        <w:t>《宝丰镇</w:t>
      </w:r>
      <w:r>
        <w:rPr>
          <w:rFonts w:hint="eastAsia" w:ascii="仿宋_GB2312" w:hAnsi="仿宋_GB2312" w:eastAsia="仿宋_GB2312" w:cs="仿宋_GB2312"/>
          <w:b w:val="0"/>
          <w:bCs w:val="0"/>
          <w:color w:val="auto"/>
          <w:kern w:val="2"/>
          <w:sz w:val="32"/>
          <w:szCs w:val="32"/>
          <w:lang w:val="en" w:eastAsia="zh-CN" w:bidi="ar-SA"/>
        </w:rPr>
        <w:t>党委理论学习中心组</w:t>
      </w:r>
      <w:r>
        <w:rPr>
          <w:rFonts w:hint="eastAsia" w:ascii="仿宋_GB2312" w:hAnsi="仿宋_GB2312" w:eastAsia="仿宋_GB2312" w:cs="仿宋_GB2312"/>
          <w:b w:val="0"/>
          <w:bCs w:val="0"/>
          <w:color w:val="auto"/>
          <w:kern w:val="2"/>
          <w:sz w:val="32"/>
          <w:szCs w:val="32"/>
          <w:lang w:val="en-US" w:eastAsia="zh-CN" w:bidi="ar-SA"/>
        </w:rPr>
        <w:t>2024年专题学习计划》</w:t>
      </w:r>
      <w:r>
        <w:rPr>
          <w:rFonts w:hint="eastAsia" w:ascii="仿宋_GB2312" w:hAnsi="仿宋_GB2312" w:eastAsia="仿宋_GB2312" w:cs="仿宋_GB2312"/>
          <w:color w:val="auto"/>
          <w:kern w:val="2"/>
          <w:sz w:val="32"/>
          <w:szCs w:val="32"/>
          <w:lang w:val="en-US" w:eastAsia="zh-CN" w:bidi="ar-SA"/>
        </w:rPr>
        <w:t>。依托党委理论学习中心组学习，以党员冬季轮训班、镇村干部例会、支部主题党日活动等形式全面开展习近平法治思想、《习近平法治思想学习纲要》《习近平谈治国理政》以及《中华人民共和国宪法》《中华人民共和国民法典》等法律法规知识的学习，在全镇形成法治学习常态化机制。2024年以来，</w:t>
      </w:r>
      <w:r>
        <w:rPr>
          <w:rFonts w:hint="eastAsia" w:ascii="仿宋_GB2312" w:hAnsi="仿宋_GB2312" w:eastAsia="仿宋_GB2312" w:cs="仿宋_GB2312"/>
          <w:sz w:val="32"/>
          <w:szCs w:val="32"/>
          <w:lang w:val="en-US" w:eastAsia="zh-CN"/>
        </w:rPr>
        <w:t>镇党委理论学习中心组学习习近平法治思想6次，党委会会前学法16次，干部例会会前学法10次。</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b w:val="0"/>
          <w:bCs w:val="0"/>
          <w:color w:val="auto"/>
          <w:kern w:val="2"/>
          <w:sz w:val="32"/>
          <w:szCs w:val="32"/>
          <w:lang w:val="en-US" w:eastAsia="zh-CN" w:bidi="ar-SA"/>
        </w:rPr>
        <w:t>多种形式促进党员干部学法用法。组织干部积极参加国家工作人员宪法法律知识考试，以考促学，进一步提升领导干部法律知识能力，树立法治思维，提高运用法治思维推动工作、解决问题的能力。</w:t>
      </w:r>
    </w:p>
    <w:p w14:paraId="0142CA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（三）全面履行政府职能，提升政务服务效能。</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全面落实权责清单，着力推进优化营商环境，按照有件必备、有备必审、有错必纠原则，进一步强化对涉及营商环境的规范性文件的监管和审批流程。着重在市场主体保护、市场环境、政务服务、执法监管、法治保障等方面，积极开展服务型行政执法宣传，助推优化法治化营商环境。</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充分组织安排学习习近平总书记关于保护民营企业的重要讲话精神和党中央决策部署相关内容，提高领导干部依法决策、依法行政的意识，加强运用法治思维、法治方式解决问题的能力。</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全面推进政务公开。深入贯彻落实《中华人民共和国政府信息公开条例》。通过政府门户网站、“平罗县宝丰镇”微信公众平台及各村（居）“小微权力”一点通、村（居）政务公开栏、微信群等，将政务公开、政府信息公开和村务公开、党务公开有机结合，最大限度方便基层群众查询政府信息。</w:t>
      </w:r>
    </w:p>
    <w:p w14:paraId="7FAD275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仿宋_GB2312" w:eastAsia="仿宋_GB2312" w:cs="仿宋_GB2312"/>
          <w:color w:val="FF0000"/>
          <w:sz w:val="32"/>
          <w:szCs w:val="32"/>
          <w:lang w:val="en-US" w:eastAsia="zh-CN"/>
        </w:rPr>
      </w:pPr>
      <w:r>
        <w:rPr>
          <w:rFonts w:hint="eastAsia" w:ascii="楷体" w:hAnsi="楷体" w:eastAsia="楷体" w:cs="楷体"/>
          <w:b/>
          <w:bCs/>
          <w:sz w:val="32"/>
          <w:szCs w:val="32"/>
        </w:rPr>
        <w:t>（四）完善依法行政机制，提</w:t>
      </w:r>
      <w:r>
        <w:rPr>
          <w:rFonts w:hint="eastAsia" w:ascii="楷体" w:hAnsi="楷体" w:eastAsia="楷体" w:cs="楷体"/>
          <w:b/>
          <w:bCs/>
          <w:sz w:val="32"/>
          <w:szCs w:val="32"/>
          <w:lang w:val="en-US" w:eastAsia="zh-CN"/>
        </w:rPr>
        <w:t>高</w:t>
      </w:r>
      <w:r>
        <w:rPr>
          <w:rFonts w:hint="eastAsia" w:ascii="楷体" w:hAnsi="楷体" w:eastAsia="楷体" w:cs="楷体"/>
          <w:b/>
          <w:bCs/>
          <w:sz w:val="32"/>
          <w:szCs w:val="32"/>
        </w:rPr>
        <w:t>依法治理能力。</w:t>
      </w:r>
      <w:r>
        <w:rPr>
          <w:rFonts w:hint="eastAsia" w:ascii="仿宋_GB2312" w:eastAsia="仿宋_GB2312" w:cs="仿宋_GB2312"/>
          <w:b/>
          <w:bCs/>
          <w:sz w:val="32"/>
          <w:szCs w:val="32"/>
        </w:rPr>
        <w:t>一是</w:t>
      </w:r>
      <w:r>
        <w:rPr>
          <w:rFonts w:hint="eastAsia" w:ascii="仿宋_GB2312" w:eastAsia="仿宋_GB2312" w:cs="仿宋_GB2312"/>
          <w:sz w:val="32"/>
          <w:szCs w:val="32"/>
        </w:rPr>
        <w:t>认真贯彻落实《重大行政决策程序暂行条例》，对涉及群众重大利益的重大项目必须通过党委会集体讨论，并组织专业机构进行环境、社会效益等风险评估后实施。</w:t>
      </w:r>
      <w:r>
        <w:rPr>
          <w:rFonts w:hint="eastAsia" w:ascii="仿宋_GB2312" w:eastAsia="仿宋_GB2312" w:cs="仿宋_GB2312"/>
          <w:b/>
          <w:bCs/>
          <w:sz w:val="32"/>
          <w:szCs w:val="32"/>
        </w:rPr>
        <w:t>二是</w:t>
      </w:r>
      <w:r>
        <w:rPr>
          <w:rFonts w:hint="eastAsia" w:ascii="仿宋_GB2312" w:eastAsia="仿宋_GB2312" w:cs="仿宋_GB2312"/>
          <w:sz w:val="32"/>
          <w:szCs w:val="32"/>
        </w:rPr>
        <w:t>注重规范性</w:t>
      </w:r>
      <w:r>
        <w:rPr>
          <w:rFonts w:hint="eastAsia" w:ascii="仿宋_GB2312" w:eastAsia="仿宋_GB2312" w:cs="仿宋_GB2312"/>
          <w:color w:val="auto"/>
          <w:sz w:val="32"/>
          <w:szCs w:val="32"/>
        </w:rPr>
        <w:t>文件监督管理。按照自治区全面清理行政规范性文件工作要求，对全镇202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年以来印发文件进行全面梳理，202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rPr>
        <w:t>年以来，我镇未制发行政规范性文件。</w:t>
      </w:r>
      <w:r>
        <w:rPr>
          <w:rFonts w:hint="eastAsia" w:ascii="仿宋_GB2312" w:eastAsia="仿宋_GB2312" w:cs="仿宋_GB2312"/>
          <w:b/>
          <w:bCs/>
          <w:sz w:val="32"/>
          <w:szCs w:val="32"/>
        </w:rPr>
        <w:t>三是</w:t>
      </w:r>
      <w:r>
        <w:rPr>
          <w:rFonts w:hint="eastAsia" w:ascii="仿宋_GB2312" w:eastAsia="仿宋_GB2312" w:cs="仿宋_GB2312"/>
          <w:sz w:val="32"/>
          <w:szCs w:val="32"/>
        </w:rPr>
        <w:t>全面推行政府法律顾问制度。聘请了</w:t>
      </w:r>
      <w:r>
        <w:rPr>
          <w:rFonts w:hint="eastAsia" w:ascii="仿宋_GB2312" w:eastAsia="仿宋_GB2312" w:cs="仿宋_GB2312"/>
          <w:sz w:val="32"/>
          <w:szCs w:val="32"/>
          <w:lang w:val="en-US" w:eastAsia="zh-CN"/>
        </w:rPr>
        <w:t>宁夏众和众律师事务所</w:t>
      </w:r>
      <w:r>
        <w:rPr>
          <w:rFonts w:hint="eastAsia" w:ascii="仿宋_GB2312" w:eastAsia="仿宋_GB2312" w:cs="仿宋_GB2312"/>
          <w:sz w:val="32"/>
          <w:szCs w:val="32"/>
        </w:rPr>
        <w:t>律师担任</w:t>
      </w:r>
      <w:r>
        <w:rPr>
          <w:rFonts w:hint="eastAsia" w:ascii="仿宋_GB2312" w:eastAsia="仿宋_GB2312" w:cs="仿宋_GB2312"/>
          <w:sz w:val="32"/>
          <w:szCs w:val="32"/>
          <w:lang w:val="en-US" w:eastAsia="zh-CN"/>
        </w:rPr>
        <w:t>政府</w:t>
      </w:r>
      <w:r>
        <w:rPr>
          <w:rFonts w:hint="eastAsia" w:ascii="仿宋_GB2312" w:eastAsia="仿宋_GB2312" w:cs="仿宋_GB2312"/>
          <w:sz w:val="32"/>
          <w:szCs w:val="32"/>
        </w:rPr>
        <w:t>法律顾问，为政府决策提供法律意见和建议，有效防范了法律风险。</w:t>
      </w:r>
      <w:r>
        <w:rPr>
          <w:rFonts w:hint="eastAsia" w:ascii="仿宋_GB2312" w:eastAsia="仿宋_GB2312" w:cs="仿宋_GB2312"/>
          <w:sz w:val="32"/>
          <w:szCs w:val="32"/>
          <w:lang w:val="en-US" w:eastAsia="zh-CN"/>
        </w:rPr>
        <w:t>各村（居）</w:t>
      </w:r>
      <w:r>
        <w:rPr>
          <w:rFonts w:hint="eastAsia" w:ascii="仿宋_GB2312" w:eastAsia="仿宋_GB2312" w:cs="仿宋_GB2312"/>
          <w:sz w:val="32"/>
          <w:szCs w:val="32"/>
        </w:rPr>
        <w:t>与宁夏宁众（平罗）律师事务所签订法律顾问合同，</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个村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居</w:t>
      </w:r>
      <w:r>
        <w:rPr>
          <w:rFonts w:hint="eastAsia" w:ascii="仿宋_GB2312" w:eastAsia="仿宋_GB2312" w:cs="仿宋_GB2312"/>
          <w:sz w:val="32"/>
          <w:szCs w:val="32"/>
          <w:lang w:eastAsia="zh-CN"/>
        </w:rPr>
        <w:t>）</w:t>
      </w:r>
      <w:r>
        <w:rPr>
          <w:rFonts w:hint="eastAsia" w:ascii="仿宋_GB2312" w:eastAsia="仿宋_GB2312" w:cs="仿宋_GB2312"/>
          <w:sz w:val="32"/>
          <w:szCs w:val="32"/>
        </w:rPr>
        <w:t>全部落实“一村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居</w:t>
      </w:r>
      <w:r>
        <w:rPr>
          <w:rFonts w:hint="eastAsia" w:ascii="仿宋_GB2312" w:eastAsia="仿宋_GB2312" w:cs="仿宋_GB2312"/>
          <w:sz w:val="32"/>
          <w:szCs w:val="32"/>
          <w:lang w:eastAsia="zh-CN"/>
        </w:rPr>
        <w:t>）</w:t>
      </w:r>
      <w:r>
        <w:rPr>
          <w:rFonts w:hint="eastAsia" w:ascii="仿宋_GB2312" w:eastAsia="仿宋_GB2312" w:cs="仿宋_GB2312"/>
          <w:sz w:val="32"/>
          <w:szCs w:val="32"/>
        </w:rPr>
        <w:t>一法律顾问，”在重大行政决策、土地流转、合同审查</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法律咨询、纠纷调解</w:t>
      </w:r>
      <w:r>
        <w:rPr>
          <w:rFonts w:hint="eastAsia" w:ascii="仿宋_GB2312" w:eastAsia="仿宋_GB2312" w:cs="仿宋_GB2312"/>
          <w:sz w:val="32"/>
          <w:szCs w:val="32"/>
        </w:rPr>
        <w:t>等方面，充分发挥</w:t>
      </w:r>
      <w:r>
        <w:rPr>
          <w:rFonts w:hint="eastAsia" w:ascii="仿宋_GB2312" w:eastAsia="仿宋_GB2312" w:cs="仿宋_GB2312"/>
          <w:sz w:val="32"/>
          <w:szCs w:val="32"/>
          <w:lang w:val="en-US" w:eastAsia="zh-CN"/>
        </w:rPr>
        <w:t>村（居）</w:t>
      </w:r>
      <w:r>
        <w:rPr>
          <w:rFonts w:hint="eastAsia" w:ascii="仿宋_GB2312" w:eastAsia="仿宋_GB2312" w:cs="仿宋_GB2312"/>
          <w:sz w:val="32"/>
          <w:szCs w:val="32"/>
        </w:rPr>
        <w:t>法律顾问作用，推进法律服务扎根基层、贴近百姓</w:t>
      </w:r>
      <w:r>
        <w:rPr>
          <w:rFonts w:hint="eastAsia" w:ascii="仿宋_GB2312" w:eastAsia="仿宋_GB2312" w:cs="仿宋_GB2312"/>
          <w:sz w:val="32"/>
          <w:szCs w:val="32"/>
          <w:lang w:eastAsia="zh-CN"/>
        </w:rPr>
        <w:t>，</w:t>
      </w:r>
      <w:r>
        <w:rPr>
          <w:rFonts w:hint="eastAsia" w:ascii="仿宋_GB2312" w:eastAsia="仿宋_GB2312" w:cs="仿宋_GB2312"/>
          <w:sz w:val="32"/>
          <w:szCs w:val="32"/>
        </w:rPr>
        <w:t>打通法律服务的“最后一公里”。</w:t>
      </w:r>
      <w:r>
        <w:rPr>
          <w:rFonts w:hint="eastAsia" w:ascii="仿宋_GB2312" w:eastAsia="仿宋_GB2312" w:cs="仿宋_GB2312"/>
          <w:b/>
          <w:bCs/>
          <w:sz w:val="32"/>
          <w:szCs w:val="32"/>
          <w:lang w:val="en-US" w:eastAsia="zh-CN"/>
        </w:rPr>
        <w:t>四</w:t>
      </w:r>
      <w:r>
        <w:rPr>
          <w:rFonts w:hint="eastAsia" w:ascii="仿宋_GB2312" w:eastAsia="仿宋_GB2312" w:cs="仿宋_GB2312"/>
          <w:b/>
          <w:bCs/>
          <w:sz w:val="32"/>
          <w:szCs w:val="32"/>
        </w:rPr>
        <w:t>是</w:t>
      </w:r>
      <w:r>
        <w:rPr>
          <w:rFonts w:hint="eastAsia" w:ascii="仿宋_GB2312" w:eastAsia="仿宋_GB2312" w:cs="仿宋_GB2312"/>
          <w:sz w:val="32"/>
          <w:szCs w:val="32"/>
        </w:rPr>
        <w:t>严格贯彻落实行政执法“三项制度”要求</w:t>
      </w:r>
      <w:r>
        <w:rPr>
          <w:rFonts w:hint="eastAsia" w:ascii="仿宋_GB2312" w:eastAsia="仿宋_GB2312" w:cs="仿宋_GB2312"/>
          <w:sz w:val="32"/>
          <w:szCs w:val="32"/>
          <w:lang w:eastAsia="zh-CN"/>
        </w:rPr>
        <w:t>、</w:t>
      </w:r>
      <w:r>
        <w:rPr>
          <w:rFonts w:hint="eastAsia" w:ascii="仿宋_GB2312" w:eastAsia="仿宋_GB2312" w:cs="仿宋_GB2312"/>
          <w:sz w:val="32"/>
          <w:szCs w:val="32"/>
        </w:rPr>
        <w:t>行政执法人员持证执法工作要求，确保行政执法全过程合法有效。同时，严格执法人员资格管理，扎实开展行政执法业务培训工作，全面提升了行政执法人员素质。</w:t>
      </w:r>
      <w:r>
        <w:rPr>
          <w:rFonts w:hint="eastAsia" w:ascii="仿宋_GB2312" w:eastAsia="仿宋_GB2312" w:cs="仿宋_GB2312"/>
          <w:color w:val="auto"/>
          <w:sz w:val="32"/>
          <w:szCs w:val="32"/>
        </w:rPr>
        <w:t>目前全镇持有执法证的人员共</w:t>
      </w:r>
      <w:r>
        <w:rPr>
          <w:rFonts w:hint="eastAsia" w:ascii="仿宋_GB2312" w:eastAsia="仿宋_GB2312" w:cs="仿宋_GB2312"/>
          <w:color w:val="auto"/>
          <w:sz w:val="32"/>
          <w:szCs w:val="32"/>
          <w:lang w:val="en-US" w:eastAsia="zh-CN"/>
        </w:rPr>
        <w:t>21</w:t>
      </w:r>
      <w:r>
        <w:rPr>
          <w:rFonts w:hint="eastAsia" w:ascii="仿宋_GB2312" w:eastAsia="仿宋_GB2312" w:cs="仿宋_GB2312"/>
          <w:color w:val="auto"/>
          <w:sz w:val="32"/>
          <w:szCs w:val="32"/>
        </w:rPr>
        <w:t>人，今年参加考试</w:t>
      </w:r>
      <w:r>
        <w:rPr>
          <w:rFonts w:hint="eastAsia" w:ascii="仿宋_GB2312" w:eastAsia="仿宋_GB2312" w:cs="仿宋_GB2312"/>
          <w:color w:val="auto"/>
          <w:sz w:val="32"/>
          <w:szCs w:val="32"/>
          <w:lang w:val="en-US" w:eastAsia="zh-CN"/>
        </w:rPr>
        <w:t>9</w:t>
      </w:r>
      <w:r>
        <w:rPr>
          <w:rFonts w:hint="eastAsia" w:ascii="仿宋_GB2312" w:eastAsia="仿宋_GB2312" w:cs="仿宋_GB2312"/>
          <w:color w:val="auto"/>
          <w:sz w:val="32"/>
          <w:szCs w:val="32"/>
        </w:rPr>
        <w:t>人</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换证3人。</w:t>
      </w:r>
    </w:p>
    <w:p w14:paraId="1F5E492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_GB2312" w:eastAsia="仿宋_GB2312" w:cs="仿宋_GB2312"/>
          <w:b/>
          <w:bCs/>
          <w:kern w:val="2"/>
          <w:sz w:val="32"/>
          <w:szCs w:val="32"/>
          <w:lang w:val="en-US" w:eastAsia="zh-CN" w:bidi="ar-SA"/>
        </w:rPr>
      </w:pPr>
      <w:r>
        <w:rPr>
          <w:rFonts w:hint="eastAsia" w:ascii="楷体" w:hAnsi="楷体" w:eastAsia="楷体" w:cs="楷体"/>
          <w:b/>
          <w:bCs/>
          <w:kern w:val="0"/>
          <w:sz w:val="32"/>
          <w:szCs w:val="32"/>
          <w:lang w:val="en-US" w:eastAsia="zh-CN" w:bidi="ar"/>
        </w:rPr>
        <w:t>（五）依法有效化解矛盾纠纷，形成社会治理法治化格局。</w:t>
      </w: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b w:val="0"/>
          <w:bCs w:val="0"/>
          <w:kern w:val="2"/>
          <w:sz w:val="32"/>
          <w:szCs w:val="32"/>
          <w:lang w:val="en-US" w:eastAsia="zh-CN" w:bidi="ar-SA"/>
        </w:rPr>
        <w:t>坚持以人民为中心的发展思想，不断提升为民服务质效，始终秉持人民调解工作是化解社会矛盾“第一道防线”的工作要求。坚持发展新时代“枫桥经验”，加大矛盾纠纷排查调处力度，将日常排查与集中排查相结合、普遍排查与重点排查相结合，最大限度地从源头预防和减少矛盾纠纷。加强了多元化解矛盾纠纷机制，强化了与各中心（办）之间的联系，力求小事不出村、大事不出镇、矛盾不上交。2024年以来，排查各类矛盾纠纷和不稳定因素206次，排查化解矛盾纠纷67件，为群众挽回各类经济损失</w:t>
      </w:r>
      <w:r>
        <w:rPr>
          <w:rFonts w:hint="eastAsia" w:ascii="仿宋_GB2312" w:hAnsi="仿宋_GB2312" w:eastAsia="仿宋_GB2312" w:cs="仿宋_GB2312"/>
          <w:b w:val="0"/>
          <w:bCs w:val="0"/>
          <w:color w:val="auto"/>
          <w:sz w:val="32"/>
          <w:szCs w:val="32"/>
          <w:lang w:val="en-US" w:eastAsia="zh-CN"/>
        </w:rPr>
        <w:t>68.23</w:t>
      </w:r>
      <w:r>
        <w:rPr>
          <w:rFonts w:hint="eastAsia" w:ascii="仿宋_GB2312" w:hAnsi="仿宋_GB2312" w:eastAsia="仿宋_GB2312" w:cs="仿宋_GB2312"/>
          <w:b w:val="0"/>
          <w:bCs w:val="0"/>
          <w:kern w:val="2"/>
          <w:sz w:val="32"/>
          <w:szCs w:val="32"/>
          <w:lang w:val="en-US" w:eastAsia="zh-CN" w:bidi="ar-SA"/>
        </w:rPr>
        <w:t>万元。组织开展人民调解员业务培训4场次，培训人员330人次。</w:t>
      </w: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b w:val="0"/>
          <w:bCs w:val="0"/>
          <w:kern w:val="2"/>
          <w:sz w:val="32"/>
          <w:szCs w:val="32"/>
          <w:lang w:val="en-US" w:eastAsia="zh-CN" w:bidi="ar-SA"/>
        </w:rPr>
        <w:t>规范行政复议与行政应诉工作。持续加强行政复议和行政应诉，严格依法履行出庭应诉职责，认真履行党政主要负责人出庭应诉制度，今年我镇未发生行政复议和行政诉讼案件。</w:t>
      </w: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b w:val="0"/>
          <w:bCs w:val="0"/>
          <w:kern w:val="2"/>
          <w:sz w:val="32"/>
          <w:szCs w:val="32"/>
          <w:lang w:val="en-US" w:eastAsia="zh-CN" w:bidi="ar-SA"/>
        </w:rPr>
        <w:t>提升公共法律服务水平。统筹推进公共法律服务体系标准化规范建设、公共法律服务体系指标规范建设。利用小律</w:t>
      </w:r>
      <w:r>
        <w:rPr>
          <w:rFonts w:hint="eastAsia" w:ascii="方正小标宋简体" w:hAnsi="方正小标宋简体" w:eastAsia="方正小标宋简体" w:cs="方正小标宋简体"/>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智能可视电话自助机、“公共法律服务一体终端机”、公法云等线上线下设备，努力为辖区居民、企业提供优质高效法律服务。今年以来，为群众解答法律咨询60余人次，代写法律文书32件。</w:t>
      </w:r>
    </w:p>
    <w:p w14:paraId="2CD862B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default" w:ascii="仿宋_GB2312" w:hAnsi="仿宋_GB2312" w:eastAsia="仿宋_GB2312" w:cs="仿宋_GB2312"/>
          <w:b w:val="0"/>
          <w:bCs w:val="0"/>
          <w:sz w:val="32"/>
          <w:szCs w:val="32"/>
          <w:lang w:val="en-US" w:eastAsia="zh-CN"/>
        </w:rPr>
      </w:pPr>
      <w:r>
        <w:rPr>
          <w:rStyle w:val="14"/>
          <w:rFonts w:hint="eastAsia" w:ascii="楷体" w:hAnsi="楷体" w:eastAsia="楷体" w:cs="楷体"/>
          <w:b/>
          <w:bCs w:val="0"/>
          <w:i w:val="0"/>
          <w:caps w:val="0"/>
          <w:color w:val="auto"/>
          <w:spacing w:val="0"/>
          <w:kern w:val="0"/>
          <w:sz w:val="32"/>
          <w:szCs w:val="32"/>
          <w:shd w:val="clear" w:color="auto" w:fill="FFFFFF"/>
          <w:lang w:val="en-US" w:eastAsia="zh-CN" w:bidi="ar"/>
        </w:rPr>
        <w:t>（六）深入推进全民普法，全面提升法治社会建设水平。一是</w:t>
      </w:r>
      <w:r>
        <w:rPr>
          <w:rFonts w:hint="eastAsia" w:ascii="仿宋_GB2312" w:hAnsi="仿宋_GB2312" w:eastAsia="仿宋_GB2312" w:cs="仿宋_GB2312"/>
          <w:b w:val="0"/>
          <w:bCs/>
          <w:color w:val="auto"/>
          <w:sz w:val="32"/>
          <w:szCs w:val="32"/>
          <w:lang w:val="en-US" w:eastAsia="zh-CN"/>
        </w:rPr>
        <w:t>认真开展</w:t>
      </w:r>
      <w:r>
        <w:rPr>
          <w:rFonts w:hint="default" w:ascii="仿宋_GB2312" w:hAnsi="仿宋_GB2312" w:eastAsia="仿宋_GB2312" w:cs="仿宋_GB2312"/>
          <w:b w:val="0"/>
          <w:bCs/>
          <w:color w:val="auto"/>
          <w:sz w:val="32"/>
          <w:szCs w:val="32"/>
          <w:lang w:val="en-US" w:eastAsia="zh-CN"/>
        </w:rPr>
        <w:t>“八五”法治宣传教育</w:t>
      </w:r>
      <w:r>
        <w:rPr>
          <w:rFonts w:hint="eastAsia" w:ascii="仿宋_GB2312" w:hAnsi="仿宋_GB2312" w:eastAsia="仿宋_GB2312" w:cs="仿宋_GB2312"/>
          <w:b w:val="0"/>
          <w:bCs/>
          <w:color w:val="auto"/>
          <w:sz w:val="32"/>
          <w:szCs w:val="32"/>
          <w:lang w:val="en-US" w:eastAsia="zh-CN"/>
        </w:rPr>
        <w:t>工作</w:t>
      </w:r>
      <w:r>
        <w:rPr>
          <w:rFonts w:hint="default"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加大</w:t>
      </w:r>
      <w:r>
        <w:rPr>
          <w:rFonts w:hint="default" w:ascii="仿宋_GB2312" w:hAnsi="仿宋_GB2312" w:eastAsia="仿宋_GB2312" w:cs="仿宋_GB2312"/>
          <w:b w:val="0"/>
          <w:bCs/>
          <w:color w:val="auto"/>
          <w:sz w:val="32"/>
          <w:szCs w:val="32"/>
          <w:lang w:val="en-US" w:eastAsia="zh-CN"/>
        </w:rPr>
        <w:t>法治宣传教育力度，推动社会依法治理。大力推进“谁执法谁普法”工作机制，形成全镇各部门齐心协力、齐抓共管“大普法”工作格局。结合</w:t>
      </w:r>
      <w:r>
        <w:rPr>
          <w:rFonts w:hint="eastAsia" w:ascii="仿宋_GB2312" w:hAnsi="仿宋_GB2312" w:eastAsia="仿宋_GB2312" w:cs="仿宋_GB2312"/>
          <w:b w:val="0"/>
          <w:bCs/>
          <w:color w:val="auto"/>
          <w:sz w:val="32"/>
          <w:szCs w:val="32"/>
          <w:lang w:val="en-US" w:eastAsia="zh-CN"/>
        </w:rPr>
        <w:t>宝丰</w:t>
      </w:r>
      <w:r>
        <w:rPr>
          <w:rFonts w:hint="default" w:ascii="仿宋_GB2312" w:hAnsi="仿宋_GB2312" w:eastAsia="仿宋_GB2312" w:cs="仿宋_GB2312"/>
          <w:b w:val="0"/>
          <w:bCs/>
          <w:color w:val="auto"/>
          <w:sz w:val="32"/>
          <w:szCs w:val="32"/>
          <w:lang w:val="en-US" w:eastAsia="zh-CN"/>
        </w:rPr>
        <w:t>镇工作职责，明确普法工作总体思路和主要任务，修订完善普法责任制“四个清单</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，研究制定年度普法工作计划和责任清单。利用</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民法典</w:t>
      </w:r>
      <w:r>
        <w:rPr>
          <w:rFonts w:hint="eastAsia" w:ascii="仿宋_GB2312" w:hAnsi="仿宋_GB2312" w:eastAsia="仿宋_GB2312" w:cs="仿宋_GB2312"/>
          <w:b w:val="0"/>
          <w:bCs/>
          <w:color w:val="auto"/>
          <w:sz w:val="32"/>
          <w:szCs w:val="32"/>
          <w:lang w:val="en-US" w:eastAsia="zh-CN"/>
        </w:rPr>
        <w:t>宣传月”“6.26</w:t>
      </w:r>
      <w:r>
        <w:rPr>
          <w:rFonts w:hint="default" w:ascii="仿宋_GB2312" w:hAnsi="仿宋_GB2312" w:eastAsia="仿宋_GB2312" w:cs="仿宋_GB2312"/>
          <w:b w:val="0"/>
          <w:bCs/>
          <w:color w:val="auto"/>
          <w:sz w:val="32"/>
          <w:szCs w:val="32"/>
          <w:lang w:val="en-US" w:eastAsia="zh-CN"/>
        </w:rPr>
        <w:t>禁毒日</w:t>
      </w:r>
      <w:r>
        <w:rPr>
          <w:rFonts w:hint="eastAsia" w:ascii="仿宋_GB2312" w:hAnsi="仿宋_GB2312" w:eastAsia="仿宋_GB2312" w:cs="仿宋_GB2312"/>
          <w:b w:val="0"/>
          <w:bCs/>
          <w:color w:val="auto"/>
          <w:sz w:val="32"/>
          <w:szCs w:val="32"/>
          <w:lang w:val="en-US" w:eastAsia="zh-CN"/>
        </w:rPr>
        <w:t>”“12.4”国家</w:t>
      </w:r>
      <w:r>
        <w:rPr>
          <w:rFonts w:hint="default" w:ascii="仿宋_GB2312" w:hAnsi="仿宋_GB2312" w:eastAsia="仿宋_GB2312" w:cs="仿宋_GB2312"/>
          <w:b w:val="0"/>
          <w:bCs/>
          <w:color w:val="auto"/>
          <w:sz w:val="32"/>
          <w:szCs w:val="32"/>
          <w:lang w:val="en-US" w:eastAsia="zh-CN"/>
        </w:rPr>
        <w:t>宪法</w:t>
      </w:r>
      <w:r>
        <w:rPr>
          <w:rFonts w:hint="eastAsia" w:ascii="仿宋_GB2312" w:hAnsi="仿宋_GB2312" w:eastAsia="仿宋_GB2312" w:cs="仿宋_GB2312"/>
          <w:b w:val="0"/>
          <w:bCs/>
          <w:color w:val="auto"/>
          <w:sz w:val="32"/>
          <w:szCs w:val="32"/>
          <w:lang w:val="en-US" w:eastAsia="zh-CN"/>
        </w:rPr>
        <w:t>日宣传周等</w:t>
      </w:r>
      <w:r>
        <w:rPr>
          <w:rFonts w:hint="default" w:ascii="仿宋_GB2312" w:hAnsi="仿宋_GB2312" w:eastAsia="仿宋_GB2312" w:cs="仿宋_GB2312"/>
          <w:b w:val="0"/>
          <w:bCs/>
          <w:color w:val="auto"/>
          <w:sz w:val="32"/>
          <w:szCs w:val="32"/>
          <w:lang w:val="en-US" w:eastAsia="zh-CN"/>
        </w:rPr>
        <w:t>重大节</w:t>
      </w:r>
      <w:r>
        <w:rPr>
          <w:rFonts w:hint="eastAsia" w:ascii="仿宋_GB2312" w:hAnsi="仿宋_GB2312" w:eastAsia="仿宋_GB2312" w:cs="仿宋_GB2312"/>
          <w:b w:val="0"/>
          <w:bCs/>
          <w:color w:val="auto"/>
          <w:sz w:val="32"/>
          <w:szCs w:val="32"/>
          <w:lang w:val="en-US" w:eastAsia="zh-CN"/>
        </w:rPr>
        <w:t>日，</w:t>
      </w:r>
      <w:r>
        <w:rPr>
          <w:rFonts w:hint="default" w:ascii="仿宋_GB2312" w:hAnsi="仿宋_GB2312" w:eastAsia="仿宋_GB2312" w:cs="仿宋_GB2312"/>
          <w:b w:val="0"/>
          <w:bCs/>
          <w:color w:val="auto"/>
          <w:sz w:val="32"/>
          <w:szCs w:val="32"/>
          <w:lang w:val="en-US" w:eastAsia="zh-CN"/>
        </w:rPr>
        <w:t>通过采用设立展板</w:t>
      </w:r>
      <w:r>
        <w:rPr>
          <w:rFonts w:hint="eastAsia" w:ascii="仿宋_GB2312" w:hAnsi="仿宋_GB2312" w:eastAsia="仿宋_GB2312" w:cs="仿宋_GB2312"/>
          <w:b w:val="0"/>
          <w:bCs/>
          <w:color w:val="auto"/>
          <w:sz w:val="32"/>
          <w:szCs w:val="32"/>
          <w:lang w:val="en-US" w:eastAsia="zh-CN"/>
        </w:rPr>
        <w:t>、悬挂横幅</w:t>
      </w:r>
      <w:r>
        <w:rPr>
          <w:rFonts w:hint="default"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val="en-US" w:eastAsia="zh-CN"/>
        </w:rPr>
        <w:t>发放</w:t>
      </w:r>
      <w:r>
        <w:rPr>
          <w:rFonts w:hint="default" w:ascii="仿宋_GB2312" w:hAnsi="仿宋_GB2312" w:eastAsia="仿宋_GB2312" w:cs="仿宋_GB2312"/>
          <w:b w:val="0"/>
          <w:bCs/>
          <w:color w:val="auto"/>
          <w:sz w:val="32"/>
          <w:szCs w:val="32"/>
          <w:lang w:val="en-US" w:eastAsia="zh-CN"/>
        </w:rPr>
        <w:t>宣传资料等</w:t>
      </w:r>
      <w:r>
        <w:rPr>
          <w:rFonts w:hint="eastAsia" w:ascii="仿宋_GB2312" w:hAnsi="仿宋_GB2312" w:eastAsia="仿宋_GB2312" w:cs="仿宋_GB2312"/>
          <w:b w:val="0"/>
          <w:bCs/>
          <w:color w:val="auto"/>
          <w:sz w:val="32"/>
          <w:szCs w:val="32"/>
          <w:lang w:val="en-US" w:eastAsia="zh-CN"/>
        </w:rPr>
        <w:t>方式，</w:t>
      </w:r>
      <w:r>
        <w:rPr>
          <w:rFonts w:hint="default" w:ascii="仿宋_GB2312" w:hAnsi="仿宋_GB2312" w:eastAsia="仿宋_GB2312" w:cs="仿宋_GB2312"/>
          <w:b w:val="0"/>
          <w:bCs/>
          <w:color w:val="auto"/>
          <w:sz w:val="32"/>
          <w:szCs w:val="32"/>
          <w:lang w:val="en-US" w:eastAsia="zh-CN"/>
        </w:rPr>
        <w:t>组织</w:t>
      </w:r>
      <w:r>
        <w:rPr>
          <w:rFonts w:hint="eastAsia" w:ascii="仿宋_GB2312" w:hAnsi="仿宋_GB2312" w:eastAsia="仿宋_GB2312" w:cs="仿宋_GB2312"/>
          <w:b w:val="0"/>
          <w:bCs/>
          <w:color w:val="auto"/>
          <w:sz w:val="32"/>
          <w:szCs w:val="32"/>
          <w:lang w:val="en-US" w:eastAsia="zh-CN"/>
        </w:rPr>
        <w:t>各中心（办）</w:t>
      </w:r>
      <w:r>
        <w:rPr>
          <w:rFonts w:hint="default" w:ascii="仿宋_GB2312" w:hAnsi="仿宋_GB2312" w:eastAsia="仿宋_GB2312" w:cs="仿宋_GB2312"/>
          <w:b w:val="0"/>
          <w:bCs/>
          <w:color w:val="auto"/>
          <w:sz w:val="32"/>
          <w:szCs w:val="32"/>
          <w:lang w:val="en-US" w:eastAsia="zh-CN"/>
        </w:rPr>
        <w:t>深入街头、市场</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社区等人流量</w:t>
      </w:r>
      <w:r>
        <w:rPr>
          <w:rFonts w:hint="eastAsia" w:ascii="仿宋_GB2312" w:hAnsi="仿宋_GB2312" w:eastAsia="仿宋_GB2312" w:cs="仿宋_GB2312"/>
          <w:b w:val="0"/>
          <w:bCs/>
          <w:color w:val="auto"/>
          <w:sz w:val="32"/>
          <w:szCs w:val="32"/>
          <w:lang w:val="en-US" w:eastAsia="zh-CN"/>
        </w:rPr>
        <w:t>较</w:t>
      </w:r>
      <w:r>
        <w:rPr>
          <w:rFonts w:hint="default" w:ascii="仿宋_GB2312" w:hAnsi="仿宋_GB2312" w:eastAsia="仿宋_GB2312" w:cs="仿宋_GB2312"/>
          <w:b w:val="0"/>
          <w:bCs/>
          <w:color w:val="auto"/>
          <w:sz w:val="32"/>
          <w:szCs w:val="32"/>
          <w:lang w:val="en-US" w:eastAsia="zh-CN"/>
        </w:rPr>
        <w:t>多</w:t>
      </w:r>
      <w:r>
        <w:rPr>
          <w:rFonts w:hint="eastAsia" w:ascii="仿宋_GB2312" w:hAnsi="仿宋_GB2312" w:eastAsia="仿宋_GB2312" w:cs="仿宋_GB2312"/>
          <w:b w:val="0"/>
          <w:bCs/>
          <w:color w:val="auto"/>
          <w:sz w:val="32"/>
          <w:szCs w:val="32"/>
          <w:lang w:val="en-US" w:eastAsia="zh-CN"/>
        </w:rPr>
        <w:t>的</w:t>
      </w:r>
      <w:r>
        <w:rPr>
          <w:rFonts w:hint="default" w:ascii="仿宋_GB2312" w:hAnsi="仿宋_GB2312" w:eastAsia="仿宋_GB2312" w:cs="仿宋_GB2312"/>
          <w:b w:val="0"/>
          <w:bCs/>
          <w:color w:val="auto"/>
          <w:sz w:val="32"/>
          <w:szCs w:val="32"/>
          <w:lang w:val="en-US" w:eastAsia="zh-CN"/>
        </w:rPr>
        <w:t>地方</w:t>
      </w:r>
      <w:r>
        <w:rPr>
          <w:rFonts w:hint="eastAsia" w:ascii="仿宋_GB2312" w:hAnsi="仿宋_GB2312" w:eastAsia="仿宋_GB2312" w:cs="仿宋_GB2312"/>
          <w:b w:val="0"/>
          <w:bCs/>
          <w:color w:val="auto"/>
          <w:sz w:val="32"/>
          <w:szCs w:val="32"/>
          <w:lang w:val="en-US" w:eastAsia="zh-CN"/>
        </w:rPr>
        <w:t>进</w:t>
      </w:r>
      <w:r>
        <w:rPr>
          <w:rFonts w:hint="default" w:ascii="仿宋_GB2312" w:hAnsi="仿宋_GB2312" w:eastAsia="仿宋_GB2312" w:cs="仿宋_GB2312"/>
          <w:b w:val="0"/>
          <w:bCs/>
          <w:color w:val="auto"/>
          <w:sz w:val="32"/>
          <w:szCs w:val="32"/>
          <w:lang w:val="en-US" w:eastAsia="zh-CN"/>
        </w:rPr>
        <w:t>行普法宣传。</w:t>
      </w:r>
      <w:r>
        <w:rPr>
          <w:rFonts w:hint="eastAsia" w:ascii="仿宋_GB2312" w:hAnsi="仿宋_GB2312" w:eastAsia="仿宋_GB2312" w:cs="仿宋_GB2312"/>
          <w:b w:val="0"/>
          <w:bCs/>
          <w:color w:val="auto"/>
          <w:sz w:val="32"/>
          <w:szCs w:val="32"/>
          <w:lang w:val="en-US" w:eastAsia="zh-CN"/>
        </w:rPr>
        <w:t>2024年以来，</w:t>
      </w:r>
      <w:r>
        <w:rPr>
          <w:rFonts w:hint="default" w:ascii="仿宋_GB2312" w:hAnsi="仿宋_GB2312" w:eastAsia="仿宋_GB2312" w:cs="仿宋_GB2312"/>
          <w:b w:val="0"/>
          <w:bCs/>
          <w:color w:val="auto"/>
          <w:sz w:val="32"/>
          <w:szCs w:val="32"/>
          <w:lang w:val="en-US" w:eastAsia="zh-CN"/>
        </w:rPr>
        <w:t>共</w:t>
      </w:r>
      <w:r>
        <w:rPr>
          <w:rFonts w:hint="eastAsia" w:ascii="仿宋_GB2312" w:hAnsi="仿宋_GB2312" w:eastAsia="仿宋_GB2312" w:cs="仿宋_GB2312"/>
          <w:b w:val="0"/>
          <w:bCs/>
          <w:color w:val="auto"/>
          <w:sz w:val="32"/>
          <w:szCs w:val="32"/>
          <w:lang w:val="en-US" w:eastAsia="zh-CN"/>
        </w:rPr>
        <w:t>开展各类法治宣传教育活动18场次，</w:t>
      </w:r>
      <w:r>
        <w:rPr>
          <w:rFonts w:hint="default" w:ascii="仿宋_GB2312" w:hAnsi="仿宋_GB2312" w:eastAsia="仿宋_GB2312" w:cs="仿宋_GB2312"/>
          <w:b w:val="0"/>
          <w:bCs/>
          <w:color w:val="auto"/>
          <w:sz w:val="32"/>
          <w:szCs w:val="32"/>
          <w:lang w:val="en-US" w:eastAsia="zh-CN"/>
        </w:rPr>
        <w:t>发放</w:t>
      </w:r>
      <w:r>
        <w:rPr>
          <w:rFonts w:hint="eastAsia" w:ascii="仿宋_GB2312" w:hAnsi="仿宋_GB2312" w:eastAsia="仿宋_GB2312" w:cs="仿宋_GB2312"/>
          <w:b w:val="0"/>
          <w:bCs/>
          <w:color w:val="auto"/>
          <w:sz w:val="32"/>
          <w:szCs w:val="32"/>
          <w:lang w:val="en-US" w:eastAsia="zh-CN"/>
        </w:rPr>
        <w:t>各类</w:t>
      </w:r>
      <w:r>
        <w:rPr>
          <w:rFonts w:hint="default" w:ascii="仿宋_GB2312" w:hAnsi="仿宋_GB2312" w:eastAsia="仿宋_GB2312" w:cs="仿宋_GB2312"/>
          <w:b w:val="0"/>
          <w:bCs/>
          <w:color w:val="auto"/>
          <w:sz w:val="32"/>
          <w:szCs w:val="32"/>
          <w:lang w:val="en-US" w:eastAsia="zh-CN"/>
        </w:rPr>
        <w:t>普法宣传</w:t>
      </w:r>
      <w:r>
        <w:rPr>
          <w:rFonts w:hint="eastAsia" w:ascii="仿宋_GB2312" w:hAnsi="仿宋_GB2312" w:eastAsia="仿宋_GB2312" w:cs="仿宋_GB2312"/>
          <w:b w:val="0"/>
          <w:bCs/>
          <w:color w:val="auto"/>
          <w:sz w:val="32"/>
          <w:szCs w:val="32"/>
          <w:lang w:val="en-US" w:eastAsia="zh-CN"/>
        </w:rPr>
        <w:t>资料1100</w:t>
      </w:r>
      <w:r>
        <w:rPr>
          <w:rFonts w:hint="default" w:ascii="仿宋_GB2312" w:hAnsi="仿宋_GB2312" w:eastAsia="仿宋_GB2312" w:cs="仿宋_GB2312"/>
          <w:b w:val="0"/>
          <w:bCs/>
          <w:color w:val="auto"/>
          <w:sz w:val="32"/>
          <w:szCs w:val="32"/>
          <w:lang w:val="en-US" w:eastAsia="zh-CN"/>
        </w:rPr>
        <w:t>余份</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bCs w:val="0"/>
          <w:color w:val="auto"/>
          <w:sz w:val="32"/>
          <w:szCs w:val="32"/>
          <w:lang w:val="en-US" w:eastAsia="zh-CN"/>
        </w:rPr>
        <w:t>二是</w:t>
      </w:r>
      <w:r>
        <w:rPr>
          <w:rFonts w:hint="eastAsia" w:ascii="仿宋_GB2312" w:hAnsi="仿宋_GB2312" w:eastAsia="仿宋_GB2312" w:cs="仿宋_GB2312"/>
          <w:b w:val="0"/>
          <w:bCs w:val="0"/>
          <w:sz w:val="32"/>
          <w:szCs w:val="32"/>
          <w:lang w:val="en-US" w:eastAsia="zh-CN"/>
        </w:rPr>
        <w:t>结合全县法律明白人培养工程，加大村级法律明白人培养力度，在全镇共培育法律明白人109人，法律明白人骨干37人。今年开展法律明白人培训5场次。</w:t>
      </w: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b w:val="0"/>
          <w:bCs w:val="0"/>
          <w:sz w:val="32"/>
          <w:szCs w:val="32"/>
          <w:lang w:val="en-US" w:eastAsia="zh-CN"/>
        </w:rPr>
        <w:t>深化法律宣传全覆盖。积极</w:t>
      </w:r>
      <w:r>
        <w:rPr>
          <w:rFonts w:hint="default" w:ascii="仿宋_GB2312" w:hAnsi="仿宋_GB2312" w:eastAsia="仿宋_GB2312" w:cs="仿宋_GB2312"/>
          <w:b w:val="0"/>
          <w:bCs w:val="0"/>
          <w:sz w:val="32"/>
          <w:szCs w:val="32"/>
          <w:lang w:val="en-US" w:eastAsia="zh-CN"/>
        </w:rPr>
        <w:t>开展法律宣传进乡村</w:t>
      </w:r>
      <w:r>
        <w:rPr>
          <w:rFonts w:hint="eastAsia" w:ascii="仿宋_GB2312" w:hAnsi="仿宋_GB2312" w:eastAsia="仿宋_GB2312" w:cs="仿宋_GB2312"/>
          <w:b w:val="0"/>
          <w:bCs w:val="0"/>
          <w:sz w:val="32"/>
          <w:szCs w:val="32"/>
          <w:lang w:val="en-US" w:eastAsia="zh-CN"/>
        </w:rPr>
        <w:t>、进学校、进企业等活动6场次，共发放普法宣传册800余份，现场解答法律咨询50余人次，</w:t>
      </w:r>
      <w:r>
        <w:rPr>
          <w:rFonts w:hint="default" w:ascii="仿宋_GB2312" w:hAnsi="仿宋_GB2312" w:eastAsia="仿宋_GB2312" w:cs="仿宋_GB2312"/>
          <w:b w:val="0"/>
          <w:bCs w:val="0"/>
          <w:sz w:val="32"/>
          <w:szCs w:val="32"/>
          <w:lang w:val="en-US" w:eastAsia="zh-CN"/>
        </w:rPr>
        <w:t>同时还积极利用</w:t>
      </w:r>
      <w:r>
        <w:rPr>
          <w:rFonts w:hint="eastAsia" w:ascii="仿宋_GB2312" w:hAnsi="仿宋_GB2312" w:eastAsia="仿宋_GB2312" w:cs="仿宋_GB2312"/>
          <w:b w:val="0"/>
          <w:bCs w:val="0"/>
          <w:sz w:val="32"/>
          <w:szCs w:val="32"/>
          <w:lang w:val="en-US" w:eastAsia="zh-CN"/>
        </w:rPr>
        <w:t>各村工作群</w:t>
      </w:r>
      <w:r>
        <w:rPr>
          <w:rFonts w:hint="default" w:ascii="仿宋_GB2312" w:hAnsi="仿宋_GB2312" w:eastAsia="仿宋_GB2312" w:cs="仿宋_GB2312"/>
          <w:b w:val="0"/>
          <w:bCs w:val="0"/>
          <w:sz w:val="32"/>
          <w:szCs w:val="32"/>
          <w:lang w:val="en-US" w:eastAsia="zh-CN"/>
        </w:rPr>
        <w:t>普及法律</w:t>
      </w:r>
      <w:r>
        <w:rPr>
          <w:rFonts w:hint="eastAsia" w:ascii="仿宋_GB2312" w:hAnsi="仿宋_GB2312" w:eastAsia="仿宋_GB2312" w:cs="仿宋_GB2312"/>
          <w:b w:val="0"/>
          <w:bCs w:val="0"/>
          <w:sz w:val="32"/>
          <w:szCs w:val="32"/>
          <w:lang w:val="en-US" w:eastAsia="zh-CN"/>
        </w:rPr>
        <w:t>知</w:t>
      </w:r>
      <w:r>
        <w:rPr>
          <w:rFonts w:hint="default" w:ascii="仿宋_GB2312" w:hAnsi="仿宋_GB2312" w:eastAsia="仿宋_GB2312" w:cs="仿宋_GB2312"/>
          <w:b w:val="0"/>
          <w:bCs w:val="0"/>
          <w:sz w:val="32"/>
          <w:szCs w:val="32"/>
          <w:lang w:val="en-US" w:eastAsia="zh-CN"/>
        </w:rPr>
        <w:t>识，深受广大</w:t>
      </w:r>
      <w:r>
        <w:rPr>
          <w:rFonts w:hint="eastAsia" w:ascii="仿宋_GB2312" w:hAnsi="仿宋_GB2312" w:eastAsia="仿宋_GB2312" w:cs="仿宋_GB2312"/>
          <w:b w:val="0"/>
          <w:bCs w:val="0"/>
          <w:sz w:val="32"/>
          <w:szCs w:val="32"/>
          <w:lang w:val="en-US" w:eastAsia="zh-CN"/>
        </w:rPr>
        <w:t>群众欢迎，</w:t>
      </w:r>
      <w:r>
        <w:rPr>
          <w:rFonts w:hint="default" w:ascii="仿宋_GB2312" w:hAnsi="仿宋_GB2312" w:eastAsia="仿宋_GB2312" w:cs="仿宋_GB2312"/>
          <w:b w:val="0"/>
          <w:bCs w:val="0"/>
          <w:sz w:val="32"/>
          <w:szCs w:val="32"/>
          <w:lang w:val="en-US" w:eastAsia="zh-CN"/>
        </w:rPr>
        <w:t>收到了良好的效果。</w:t>
      </w:r>
    </w:p>
    <w:p w14:paraId="18A49502">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ind w:left="0" w:right="0" w:righ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000000"/>
          <w:sz w:val="32"/>
          <w:szCs w:val="32"/>
          <w:lang w:val="en-US" w:eastAsia="zh-CN"/>
        </w:rPr>
        <w:t>存在不足和原因</w:t>
      </w:r>
    </w:p>
    <w:p w14:paraId="519A8C0E">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今年以来，我镇在法治政府建设上取得了一定的成绩，但还没有达到预期的目标，法治政府建设工作中仍然存在一些问题，主要表现在以下几个方面：</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依法行政意识有待进一步提高。部分干部对依法行政的重要性认识不足，法治观念和依法行政意识还不够强，在工作中还存在凭经验、凭习惯办事的现象。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宣传教育手段还不够丰富。在法治宣传教育领域，目前仍过度依赖发放宣传资料、举办讲座等传统形式，对新媒体、新技术的运用明显不足，导致宣传的覆盖面和影响力受限，难以充分满足群众多元化、个性化的法律知识获取需求，宣传效果未达理想状态。</w:t>
      </w: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lang w:val="en-US" w:eastAsia="zh-CN"/>
        </w:rPr>
        <w:t>执法力量薄弱，部分行政执法人员的法律知识和业务能力还不够强，尤其是缺乏高素质的法治工作专业人才，一定程度上不能很好地满足实际工作需要。</w:t>
      </w:r>
    </w:p>
    <w:p w14:paraId="1FEE88F6">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三、2025年工作安排</w:t>
      </w:r>
    </w:p>
    <w:p w14:paraId="2CDF0EA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（一）切实加强党对法治政府建设的领导。</w:t>
      </w:r>
      <w:r>
        <w:rPr>
          <w:rFonts w:hint="eastAsia" w:ascii="仿宋_GB2312" w:hAnsi="仿宋_GB2312" w:eastAsia="仿宋_GB2312" w:cs="仿宋_GB2312"/>
          <w:sz w:val="32"/>
          <w:szCs w:val="32"/>
          <w:lang w:val="en-US" w:eastAsia="zh-CN"/>
        </w:rPr>
        <w:t>以</w:t>
      </w:r>
      <w:bookmarkStart w:id="0" w:name="_GoBack"/>
      <w:bookmarkEnd w:id="0"/>
      <w:r>
        <w:rPr>
          <w:rFonts w:hint="eastAsia" w:ascii="仿宋_GB2312" w:hAnsi="仿宋_GB2312" w:eastAsia="仿宋_GB2312" w:cs="仿宋_GB2312"/>
          <w:sz w:val="32"/>
          <w:szCs w:val="32"/>
          <w:lang w:val="en-US" w:eastAsia="zh-CN"/>
        </w:rPr>
        <w:t>习近平法治思想为引领，坚持党的领导这个根本原则，坚决把牢法治建设正确方向。深入贯彻践行习近平法治思想，围绕上级关于法治政府建设的决策部署，谋划和落实好法治政府建设的各项工作和任务，主动向县委报告法治政府建设中的重大问题和困难，确保政府职能依法全面履行，依法行政能力普遍提高。</w:t>
      </w:r>
    </w:p>
    <w:p w14:paraId="2BD0D9FC">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（二）持续加大普法宣传力度增强法治观念。</w:t>
      </w:r>
      <w:r>
        <w:rPr>
          <w:rFonts w:hint="eastAsia" w:ascii="仿宋_GB2312" w:hAnsi="仿宋_GB2312" w:eastAsia="仿宋_GB2312" w:cs="仿宋_GB2312"/>
          <w:sz w:val="32"/>
          <w:szCs w:val="32"/>
          <w:lang w:val="en-US" w:eastAsia="zh-CN"/>
        </w:rPr>
        <w:t>紧紧抓住党员领导干部“关键少数”，将依法行政等情况纳入年度考核，保证履行好权力的政治责任与法治责任，使领导干部成为法治化建设的主要推动者与群众法治理念的引领者。支持和引导群众开展法治文化活动，满足人民群众日益增长的法治文化需要。创新法治宣传教育的方式方法，充分利用新媒体、新技术，开展形式多样、内容丰富的法治宣传教育活动。根据不同群体的法治需求，制定个性化的法治宣传教育方案，提高法治宣传教育的针对性和实效性，积极推进基层法治文化活动建设，加强法治文化传播，营造法治氛围。</w:t>
      </w:r>
    </w:p>
    <w:p w14:paraId="07A46F43">
      <w:pPr>
        <w:pStyle w:val="10"/>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（三）进一步提高领导干部运用法治思维和法治方式处理问题的能力。</w:t>
      </w:r>
      <w:r>
        <w:rPr>
          <w:rFonts w:hint="eastAsia" w:ascii="仿宋_GB2312" w:hAnsi="仿宋_GB2312" w:eastAsia="仿宋_GB2312" w:cs="仿宋_GB2312"/>
          <w:sz w:val="32"/>
          <w:szCs w:val="32"/>
          <w:lang w:val="en-US" w:eastAsia="zh-CN"/>
        </w:rPr>
        <w:t>充分调动班子成员的能动作用，进一步增强班子的凝聚力和战斗力，为全镇法治政府建设提供坚强组织保障，定期组织领导干部开展法律知识讲座、专业知识培训等，不断提高依法行政能力，提高执法工作人员法律素质和依法办事能力。领导干部带头尊法学法守法用法，不断提高运用法治思维和法治方式深化改革、推动发展、化解矛盾、维护稳定、应对风险的能力。</w:t>
      </w:r>
    </w:p>
    <w:p w14:paraId="6C5A9B5E">
      <w:pPr>
        <w:keepNext w:val="0"/>
        <w:keepLines w:val="0"/>
        <w:pageBreakBefore w:val="0"/>
        <w:widowControl w:val="0"/>
        <w:suppressLineNumbers w:val="0"/>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_GB2312" w:hAnsi="仿宋_GB2312" w:eastAsia="仿宋_GB2312" w:cs="仿宋_GB2312"/>
          <w:kern w:val="0"/>
          <w:sz w:val="32"/>
          <w:szCs w:val="32"/>
          <w:lang w:val="en-US" w:eastAsia="zh-CN" w:bidi="ar"/>
        </w:rPr>
      </w:pPr>
      <w:r>
        <w:rPr>
          <w:rFonts w:hint="eastAsia" w:ascii="楷体" w:hAnsi="楷体" w:eastAsia="楷体" w:cs="楷体"/>
          <w:b/>
          <w:bCs/>
          <w:kern w:val="0"/>
          <w:sz w:val="32"/>
          <w:szCs w:val="32"/>
          <w:lang w:val="en-US" w:eastAsia="zh-CN" w:bidi="ar"/>
        </w:rPr>
        <w:t>（四）进一步提升行政执法水平。</w:t>
      </w:r>
      <w:r>
        <w:rPr>
          <w:rFonts w:hint="eastAsia" w:ascii="仿宋_GB2312" w:hAnsi="仿宋_GB2312" w:eastAsia="仿宋_GB2312" w:cs="仿宋_GB2312"/>
          <w:kern w:val="0"/>
          <w:sz w:val="32"/>
          <w:szCs w:val="32"/>
          <w:lang w:val="en-US" w:eastAsia="zh-CN" w:bidi="ar"/>
        </w:rPr>
        <w:t>加强行政执法队伍建设，加大对行政执法人员的培训力度，提高执法人员的法律素养和业务能力。规范行政执法程序，严格执行行政执法“三项制度”，加强对行政执法的监督检查，及时纠正违法或不当的执法行为，不断提升行政执法水平和执法公信力。</w:t>
      </w:r>
    </w:p>
    <w:p w14:paraId="0C04FD6B">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eastAsia="zh-CN"/>
        </w:rPr>
      </w:pPr>
    </w:p>
    <w:p w14:paraId="073BC50D">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default" w:ascii="仿宋_GB2312" w:hAnsi="仿宋_GB2312" w:eastAsia="仿宋_GB2312" w:cs="仿宋_GB2312"/>
          <w:sz w:val="32"/>
          <w:szCs w:val="32"/>
          <w:lang w:val="en-US" w:eastAsia="zh-CN"/>
        </w:rPr>
      </w:pPr>
    </w:p>
    <w:p w14:paraId="65B068F9">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rightChars="0"/>
        <w:jc w:val="both"/>
        <w:textAlignment w:val="auto"/>
        <w:rPr>
          <w:rFonts w:hint="default" w:ascii="仿宋_GB2312" w:hAnsi="仿宋_GB2312" w:eastAsia="仿宋_GB2312" w:cs="仿宋_GB2312"/>
          <w:sz w:val="32"/>
          <w:szCs w:val="32"/>
          <w:lang w:val="en-US" w:eastAsia="zh-CN"/>
        </w:rPr>
      </w:pPr>
    </w:p>
    <w:p w14:paraId="3FE694D5">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640" w:leftChars="0" w:right="0" w:rightChars="0" w:hanging="640" w:hanging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平罗县宝丰镇人民政府</w:t>
      </w:r>
    </w:p>
    <w:p w14:paraId="09C84318">
      <w:pPr>
        <w:pStyle w:val="10"/>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640" w:leftChars="0" w:right="0" w:rightChars="0" w:hanging="640" w:hanging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2025年1月16日</w:t>
      </w:r>
    </w:p>
    <w:sectPr>
      <w:footerReference r:id="rId3" w:type="default"/>
      <w:pgSz w:w="11906" w:h="16838"/>
      <w:pgMar w:top="1984"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7054">
    <w:pPr>
      <w:pStyle w:val="7"/>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43C19E">
                          <w:pPr>
                            <w:pStyle w:val="7"/>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43C19E">
                    <w:pPr>
                      <w:pStyle w:val="7"/>
                      <w:rPr>
                        <w:rFonts w:hint="eastAsia" w:asciiTheme="minorEastAsia" w:hAnsiTheme="minorEastAsia" w:eastAsiaTheme="minorEastAsia" w:cstheme="minorEastAsia"/>
                        <w:sz w:val="24"/>
                        <w:szCs w:val="40"/>
                      </w:rPr>
                    </w:pPr>
                    <w:r>
                      <w:rPr>
                        <w:rFonts w:hint="eastAsia" w:asciiTheme="minorEastAsia" w:hAnsiTheme="minorEastAsia" w:eastAsiaTheme="minorEastAsia" w:cstheme="minorEastAsia"/>
                        <w:sz w:val="24"/>
                        <w:szCs w:val="40"/>
                      </w:rPr>
                      <w:t xml:space="preserve">— </w:t>
                    </w:r>
                    <w:r>
                      <w:rPr>
                        <w:rFonts w:hint="eastAsia" w:asciiTheme="minorEastAsia" w:hAnsiTheme="minorEastAsia" w:eastAsiaTheme="minorEastAsia" w:cstheme="minorEastAsia"/>
                        <w:sz w:val="24"/>
                        <w:szCs w:val="40"/>
                      </w:rPr>
                      <w:fldChar w:fldCharType="begin"/>
                    </w:r>
                    <w:r>
                      <w:rPr>
                        <w:rFonts w:hint="eastAsia" w:asciiTheme="minorEastAsia" w:hAnsiTheme="minorEastAsia" w:eastAsiaTheme="minorEastAsia" w:cstheme="minorEastAsia"/>
                        <w:sz w:val="24"/>
                        <w:szCs w:val="40"/>
                      </w:rPr>
                      <w:instrText xml:space="preserve"> PAGE  \* MERGEFORMAT </w:instrText>
                    </w:r>
                    <w:r>
                      <w:rPr>
                        <w:rFonts w:hint="eastAsia" w:asciiTheme="minorEastAsia" w:hAnsiTheme="minorEastAsia" w:eastAsiaTheme="minorEastAsia" w:cstheme="minorEastAsia"/>
                        <w:sz w:val="24"/>
                        <w:szCs w:val="40"/>
                      </w:rPr>
                      <w:fldChar w:fldCharType="separate"/>
                    </w:r>
                    <w:r>
                      <w:rPr>
                        <w:rFonts w:hint="eastAsia" w:asciiTheme="minorEastAsia" w:hAnsiTheme="minorEastAsia" w:eastAsiaTheme="minorEastAsia" w:cstheme="minorEastAsia"/>
                        <w:sz w:val="24"/>
                        <w:szCs w:val="40"/>
                      </w:rPr>
                      <w:t>1</w:t>
                    </w:r>
                    <w:r>
                      <w:rPr>
                        <w:rFonts w:hint="eastAsia" w:asciiTheme="minorEastAsia" w:hAnsiTheme="minorEastAsia" w:eastAsiaTheme="minorEastAsia" w:cstheme="minorEastAsia"/>
                        <w:sz w:val="24"/>
                        <w:szCs w:val="40"/>
                      </w:rPr>
                      <w:fldChar w:fldCharType="end"/>
                    </w:r>
                    <w:r>
                      <w:rPr>
                        <w:rFonts w:hint="eastAsia" w:asciiTheme="minorEastAsia" w:hAnsiTheme="minorEastAsia" w:eastAsiaTheme="minorEastAsia" w:cstheme="minorEastAsia"/>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YWU3NDIwNzMxNDMxYjI2MTM0MDVlYmVkMzg4OWMifQ=="/>
  </w:docVars>
  <w:rsids>
    <w:rsidRoot w:val="19905339"/>
    <w:rsid w:val="00FD5422"/>
    <w:rsid w:val="011B56B5"/>
    <w:rsid w:val="020E6A4C"/>
    <w:rsid w:val="02A96E98"/>
    <w:rsid w:val="037C6FB6"/>
    <w:rsid w:val="05946F9C"/>
    <w:rsid w:val="069F3BC7"/>
    <w:rsid w:val="06DB2355"/>
    <w:rsid w:val="073562D9"/>
    <w:rsid w:val="0ACC3314"/>
    <w:rsid w:val="0B5D36F1"/>
    <w:rsid w:val="0BF92CAC"/>
    <w:rsid w:val="0C312278"/>
    <w:rsid w:val="0E001426"/>
    <w:rsid w:val="0F286D08"/>
    <w:rsid w:val="12A5518F"/>
    <w:rsid w:val="1395583F"/>
    <w:rsid w:val="142715F7"/>
    <w:rsid w:val="162D39F0"/>
    <w:rsid w:val="19905339"/>
    <w:rsid w:val="1C694603"/>
    <w:rsid w:val="1C7B31B0"/>
    <w:rsid w:val="1FC95F08"/>
    <w:rsid w:val="1FFDE9CF"/>
    <w:rsid w:val="20906B51"/>
    <w:rsid w:val="22E2053C"/>
    <w:rsid w:val="23624AD7"/>
    <w:rsid w:val="2526512A"/>
    <w:rsid w:val="26CA7C33"/>
    <w:rsid w:val="279D772B"/>
    <w:rsid w:val="2DE53D06"/>
    <w:rsid w:val="2EEB3341"/>
    <w:rsid w:val="2EFD4CBC"/>
    <w:rsid w:val="2F013A7B"/>
    <w:rsid w:val="31900B83"/>
    <w:rsid w:val="31F3708F"/>
    <w:rsid w:val="32A454C9"/>
    <w:rsid w:val="35215A5D"/>
    <w:rsid w:val="37983B97"/>
    <w:rsid w:val="39EA33AD"/>
    <w:rsid w:val="3B384C6F"/>
    <w:rsid w:val="3EF85126"/>
    <w:rsid w:val="421309EA"/>
    <w:rsid w:val="425D05C0"/>
    <w:rsid w:val="43B5129A"/>
    <w:rsid w:val="43C57AC2"/>
    <w:rsid w:val="44246EDE"/>
    <w:rsid w:val="450577A3"/>
    <w:rsid w:val="475644E9"/>
    <w:rsid w:val="483607A6"/>
    <w:rsid w:val="48D82C4F"/>
    <w:rsid w:val="4B69167A"/>
    <w:rsid w:val="4C9F1308"/>
    <w:rsid w:val="4EEA2E4A"/>
    <w:rsid w:val="4FB60D02"/>
    <w:rsid w:val="5003209D"/>
    <w:rsid w:val="511E161D"/>
    <w:rsid w:val="51A5301E"/>
    <w:rsid w:val="54A2005F"/>
    <w:rsid w:val="55FA0ABB"/>
    <w:rsid w:val="569F53F4"/>
    <w:rsid w:val="573C5E95"/>
    <w:rsid w:val="59114DD8"/>
    <w:rsid w:val="5CF3349A"/>
    <w:rsid w:val="5D583F04"/>
    <w:rsid w:val="5DA402F0"/>
    <w:rsid w:val="5E61681E"/>
    <w:rsid w:val="619A4F52"/>
    <w:rsid w:val="6356620A"/>
    <w:rsid w:val="65A45A9F"/>
    <w:rsid w:val="663C7C5F"/>
    <w:rsid w:val="685A0DB1"/>
    <w:rsid w:val="69925A2E"/>
    <w:rsid w:val="6B5B1EEA"/>
    <w:rsid w:val="6BA753E0"/>
    <w:rsid w:val="6BFF0F86"/>
    <w:rsid w:val="6C3A60FA"/>
    <w:rsid w:val="6C3E336F"/>
    <w:rsid w:val="6C7F2654"/>
    <w:rsid w:val="6DC72981"/>
    <w:rsid w:val="6E382162"/>
    <w:rsid w:val="6E386DE5"/>
    <w:rsid w:val="6E677844"/>
    <w:rsid w:val="6F615109"/>
    <w:rsid w:val="72770BF8"/>
    <w:rsid w:val="72B11287"/>
    <w:rsid w:val="73EBCB09"/>
    <w:rsid w:val="755F74C6"/>
    <w:rsid w:val="77B43AFA"/>
    <w:rsid w:val="77CF7FA6"/>
    <w:rsid w:val="77FBDA40"/>
    <w:rsid w:val="78E57CE3"/>
    <w:rsid w:val="79CD0EA3"/>
    <w:rsid w:val="7A921FBF"/>
    <w:rsid w:val="7AC706E4"/>
    <w:rsid w:val="7BDF202C"/>
    <w:rsid w:val="7DF056EF"/>
    <w:rsid w:val="7E9D7D96"/>
    <w:rsid w:val="7EE62E54"/>
    <w:rsid w:val="7F7F4ECF"/>
    <w:rsid w:val="7F817D50"/>
    <w:rsid w:val="7FDE2E8E"/>
    <w:rsid w:val="7FDF05E6"/>
    <w:rsid w:val="85FDFED7"/>
    <w:rsid w:val="97FF6F52"/>
    <w:rsid w:val="A7DD02C8"/>
    <w:rsid w:val="BAFD088A"/>
    <w:rsid w:val="BFFF54E8"/>
    <w:rsid w:val="DCEF6AE6"/>
    <w:rsid w:val="EFFF5899"/>
    <w:rsid w:val="F58DDB88"/>
    <w:rsid w:val="F7FD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qFormat/>
    <w:uiPriority w:val="0"/>
    <w:pPr>
      <w:keepNext/>
      <w:keepLines/>
      <w:widowControl/>
      <w:ind w:left="840" w:leftChars="400"/>
      <w:jc w:val="left"/>
      <w:outlineLvl w:val="1"/>
    </w:pPr>
    <w:rPr>
      <w:rFonts w:eastAsia="仿宋"/>
      <w:b/>
      <w:bCs/>
      <w:kern w:val="0"/>
      <w:sz w:val="30"/>
      <w:szCs w:val="30"/>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0"/>
    <w:rPr>
      <w:rFonts w:ascii="Times New Roman" w:hAnsi="Times New Roman" w:eastAsia="宋体" w:cs="Times New Roman"/>
    </w:rPr>
  </w:style>
  <w:style w:type="paragraph" w:styleId="5">
    <w:name w:val="Normal Indent"/>
    <w:basedOn w:val="1"/>
    <w:next w:val="1"/>
    <w:autoRedefine/>
    <w:qFormat/>
    <w:uiPriority w:val="0"/>
    <w:pPr>
      <w:ind w:firstLine="420" w:firstLineChars="200"/>
    </w:pPr>
  </w:style>
  <w:style w:type="paragraph" w:styleId="6">
    <w:name w:val="Body Text Indent"/>
    <w:basedOn w:val="1"/>
    <w:autoRedefine/>
    <w:qFormat/>
    <w:uiPriority w:val="0"/>
    <w:pPr>
      <w:ind w:firstLine="640" w:firstLineChars="200"/>
    </w:pPr>
    <w:rPr>
      <w:sz w:val="32"/>
      <w:szCs w:val="24"/>
      <w:lang w:val="en-GB"/>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6"/>
    <w:next w:val="1"/>
    <w:autoRedefine/>
    <w:qFormat/>
    <w:uiPriority w:val="0"/>
    <w:pPr>
      <w:ind w:left="200" w:firstLine="420" w:firstLineChars="200"/>
    </w:pPr>
    <w:rPr>
      <w:rFonts w:hint="eastAsia" w:ascii="Times New Roman" w:eastAsia="仿宋_GB2312"/>
      <w:sz w:val="32"/>
    </w:rPr>
  </w:style>
  <w:style w:type="character" w:styleId="14">
    <w:name w:val="Strong"/>
    <w:basedOn w:val="13"/>
    <w:qFormat/>
    <w:uiPriority w:val="0"/>
    <w:rPr>
      <w:b/>
      <w:color w:val="166CB2"/>
    </w:rPr>
  </w:style>
  <w:style w:type="character" w:styleId="15">
    <w:name w:val="FollowedHyperlink"/>
    <w:basedOn w:val="13"/>
    <w:qFormat/>
    <w:uiPriority w:val="0"/>
    <w:rPr>
      <w:color w:val="333333"/>
      <w:u w:val="none"/>
    </w:rPr>
  </w:style>
  <w:style w:type="character" w:styleId="16">
    <w:name w:val="Emphasis"/>
    <w:basedOn w:val="13"/>
    <w:autoRedefine/>
    <w:qFormat/>
    <w:uiPriority w:val="0"/>
    <w:rPr>
      <w:b/>
    </w:rPr>
  </w:style>
  <w:style w:type="character" w:styleId="17">
    <w:name w:val="HTML Definition"/>
    <w:basedOn w:val="13"/>
    <w:qFormat/>
    <w:uiPriority w:val="0"/>
  </w:style>
  <w:style w:type="character" w:styleId="18">
    <w:name w:val="HTML Variable"/>
    <w:basedOn w:val="13"/>
    <w:autoRedefine/>
    <w:qFormat/>
    <w:uiPriority w:val="0"/>
  </w:style>
  <w:style w:type="character" w:styleId="19">
    <w:name w:val="Hyperlink"/>
    <w:basedOn w:val="13"/>
    <w:qFormat/>
    <w:uiPriority w:val="0"/>
    <w:rPr>
      <w:color w:val="333333"/>
      <w:u w:val="none"/>
    </w:rPr>
  </w:style>
  <w:style w:type="character" w:styleId="20">
    <w:name w:val="HTML Code"/>
    <w:basedOn w:val="13"/>
    <w:autoRedefine/>
    <w:qFormat/>
    <w:uiPriority w:val="0"/>
    <w:rPr>
      <w:rFonts w:ascii="Courier New" w:hAnsi="Courier New"/>
      <w:sz w:val="20"/>
    </w:rPr>
  </w:style>
  <w:style w:type="character" w:styleId="21">
    <w:name w:val="HTML Cite"/>
    <w:basedOn w:val="13"/>
    <w:autoRedefine/>
    <w:qFormat/>
    <w:uiPriority w:val="0"/>
  </w:style>
  <w:style w:type="character" w:styleId="22">
    <w:name w:val="HTML Keyboard"/>
    <w:basedOn w:val="13"/>
    <w:autoRedefine/>
    <w:qFormat/>
    <w:uiPriority w:val="0"/>
    <w:rPr>
      <w:rFonts w:ascii="Courier New" w:hAnsi="Courier New"/>
      <w:sz w:val="20"/>
    </w:rPr>
  </w:style>
  <w:style w:type="character" w:styleId="23">
    <w:name w:val="HTML Sample"/>
    <w:basedOn w:val="13"/>
    <w:autoRedefine/>
    <w:qFormat/>
    <w:uiPriority w:val="0"/>
    <w:rPr>
      <w:rFonts w:ascii="Courier New" w:hAnsi="Courier New"/>
    </w:rPr>
  </w:style>
  <w:style w:type="paragraph" w:customStyle="1" w:styleId="24">
    <w:name w:val="Normal Indent1"/>
    <w:basedOn w:val="1"/>
    <w:autoRedefine/>
    <w:qFormat/>
    <w:uiPriority w:val="0"/>
    <w:pPr>
      <w:ind w:firstLine="200" w:firstLineChars="200"/>
    </w:pPr>
    <w:rPr>
      <w:rFonts w:ascii="Times New Roman" w:hAnsi="Times New Roman" w:eastAsia="宋体" w:cs="Times New Roman"/>
      <w:sz w:val="21"/>
    </w:rPr>
  </w:style>
  <w:style w:type="paragraph" w:customStyle="1" w:styleId="25">
    <w:name w:val="Normal (Web)"/>
    <w:basedOn w:val="1"/>
    <w:autoRedefine/>
    <w:qFormat/>
    <w:uiPriority w:val="0"/>
    <w:pPr>
      <w:spacing w:before="100" w:beforeLines="0" w:beforeAutospacing="1" w:after="100" w:afterLines="0" w:afterAutospacing="1"/>
      <w:ind w:left="0" w:right="0"/>
      <w:jc w:val="left"/>
    </w:pPr>
    <w:rPr>
      <w:kern w:val="0"/>
      <w:sz w:val="24"/>
      <w:lang w:val="en-US" w:eastAsia="zh-CN"/>
    </w:rPr>
  </w:style>
  <w:style w:type="character" w:customStyle="1" w:styleId="26">
    <w:name w:val="layui-laypage-curr"/>
    <w:basedOn w:val="13"/>
    <w:autoRedefine/>
    <w:qFormat/>
    <w:uiPriority w:val="0"/>
  </w:style>
  <w:style w:type="paragraph" w:customStyle="1" w:styleId="27">
    <w:name w:val="Normal Indent"/>
    <w:autoRedefine/>
    <w:qFormat/>
    <w:uiPriority w:val="0"/>
    <w:pPr>
      <w:widowControl w:val="0"/>
      <w:ind w:firstLine="200" w:firstLineChars="200"/>
      <w:jc w:val="both"/>
    </w:pPr>
    <w:rPr>
      <w:rFonts w:ascii="Calibri" w:hAnsi="Calibri"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3869</Words>
  <Characters>3937</Characters>
  <Lines>0</Lines>
  <Paragraphs>0</Paragraphs>
  <TotalTime>133</TotalTime>
  <ScaleCrop>false</ScaleCrop>
  <LinksUpToDate>false</LinksUpToDate>
  <CharactersWithSpaces>3981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2019-11-14T11:29:00Z</dcterms:created>
  <dc:creator>lenovo</dc:creator>
  <cp:lastModifiedBy>……</cp:lastModifiedBy>
  <cp:lastPrinted>2024-12-24T02:36:00Z</cp:lastPrinted>
  <dcterms:modified xsi:type="dcterms:W3CDTF">2025-03-27T08:36:56Z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42B3268CDEBE426CADB44727C9AFD4C4</vt:lpwstr>
  </property>
  <property fmtid="{D5CDD505-2E9C-101B-9397-08002B2CF9AE}" pid="4" name="KSOTemplateDocerSaveRecord">
    <vt:lpwstr>eyJoZGlkIjoiODMxYWU3NDIwNzMxNDMxYjI2MTM0MDVlYmVkMzg4OWMiLCJ1c2VySWQiOiI2NTg5MDk1OTcifQ==</vt:lpwstr>
  </property>
</Properties>
</file>