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634DE3">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方正小标宋简体" w:cs="Times New Roman"/>
          <w:i w:val="0"/>
          <w:color w:val="000000"/>
          <w:kern w:val="0"/>
          <w:sz w:val="44"/>
          <w:szCs w:val="44"/>
          <w:u w:val="none"/>
          <w:lang w:val="en-US" w:eastAsia="zh-CN" w:bidi="ar"/>
        </w:rPr>
      </w:pPr>
      <w:r>
        <w:rPr>
          <w:rFonts w:hint="eastAsia" w:ascii="Times New Roman" w:hAnsi="Times New Roman" w:eastAsia="方正小标宋简体" w:cs="Times New Roman"/>
          <w:i w:val="0"/>
          <w:color w:val="000000"/>
          <w:kern w:val="0"/>
          <w:sz w:val="44"/>
          <w:szCs w:val="44"/>
          <w:u w:val="none"/>
          <w:lang w:val="en-US" w:eastAsia="zh-CN" w:bidi="ar"/>
        </w:rPr>
        <w:t>平罗县红崖子乡人民政府</w:t>
      </w:r>
      <w:r>
        <w:rPr>
          <w:rFonts w:hint="default" w:ascii="Times New Roman" w:hAnsi="Times New Roman" w:eastAsia="方正小标宋简体" w:cs="Times New Roman"/>
          <w:i w:val="0"/>
          <w:color w:val="000000"/>
          <w:kern w:val="0"/>
          <w:sz w:val="44"/>
          <w:szCs w:val="44"/>
          <w:u w:val="none"/>
          <w:lang w:val="en-US" w:eastAsia="zh-CN" w:bidi="ar"/>
        </w:rPr>
        <w:t>合法性审查事项</w:t>
      </w:r>
    </w:p>
    <w:p w14:paraId="2766692C">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方正小标宋简体" w:cs="Times New Roman"/>
          <w:i w:val="0"/>
          <w:color w:val="000000"/>
          <w:kern w:val="0"/>
          <w:sz w:val="44"/>
          <w:szCs w:val="44"/>
          <w:u w:val="none"/>
          <w:lang w:val="en" w:eastAsia="zh-CN" w:bidi="ar"/>
        </w:rPr>
      </w:pPr>
      <w:r>
        <w:rPr>
          <w:rFonts w:hint="default" w:ascii="Times New Roman" w:hAnsi="Times New Roman" w:eastAsia="方正小标宋简体" w:cs="Times New Roman"/>
          <w:i w:val="0"/>
          <w:color w:val="000000"/>
          <w:kern w:val="0"/>
          <w:sz w:val="44"/>
          <w:szCs w:val="44"/>
          <w:u w:val="none"/>
          <w:lang w:val="en-US" w:eastAsia="zh-CN" w:bidi="ar"/>
        </w:rPr>
        <w:t>目录清单</w:t>
      </w:r>
    </w:p>
    <w:p w14:paraId="04E96ED7">
      <w:pPr>
        <w:keepNext w:val="0"/>
        <w:keepLines w:val="0"/>
        <w:pageBreakBefore w:val="0"/>
        <w:widowControl/>
        <w:suppressLineNumbers w:val="0"/>
        <w:kinsoku/>
        <w:wordWrap/>
        <w:overflowPunct/>
        <w:topLinePunct w:val="0"/>
        <w:autoSpaceDE/>
        <w:autoSpaceDN/>
        <w:bidi w:val="0"/>
        <w:adjustRightInd/>
        <w:snapToGrid/>
        <w:spacing w:line="400" w:lineRule="exact"/>
        <w:ind w:firstLine="600" w:firstLineChars="200"/>
        <w:jc w:val="left"/>
        <w:textAlignment w:val="center"/>
        <w:rPr>
          <w:rFonts w:hint="default" w:ascii="Times New Roman" w:hAnsi="Times New Roman" w:eastAsia="黑体" w:cs="Times New Roman"/>
          <w:i w:val="0"/>
          <w:color w:val="000000"/>
          <w:kern w:val="0"/>
          <w:sz w:val="30"/>
          <w:szCs w:val="30"/>
          <w:u w:val="none"/>
          <w:lang w:val="en-US" w:eastAsia="zh-CN" w:bidi="ar"/>
        </w:rPr>
      </w:pPr>
    </w:p>
    <w:p w14:paraId="0F09C41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center"/>
        <w:rPr>
          <w:rFonts w:hint="default" w:ascii="Times New Roman" w:hAnsi="Times New Roman" w:eastAsia="黑体" w:cs="Times New Roman"/>
          <w:i w:val="0"/>
          <w:color w:val="000000"/>
          <w:kern w:val="0"/>
          <w:sz w:val="32"/>
          <w:szCs w:val="32"/>
          <w:u w:val="none"/>
          <w:lang w:val="en-US" w:eastAsia="zh-CN" w:bidi="ar"/>
        </w:rPr>
      </w:pPr>
      <w:r>
        <w:rPr>
          <w:rFonts w:hint="eastAsia" w:ascii="Times New Roman" w:hAnsi="Times New Roman" w:eastAsia="黑体" w:cs="Times New Roman"/>
          <w:i w:val="0"/>
          <w:color w:val="000000"/>
          <w:kern w:val="0"/>
          <w:sz w:val="32"/>
          <w:szCs w:val="32"/>
          <w:u w:val="none"/>
          <w:lang w:val="en-US" w:eastAsia="zh-CN" w:bidi="ar"/>
        </w:rPr>
        <w:t>一、</w:t>
      </w:r>
      <w:r>
        <w:rPr>
          <w:rFonts w:hint="default" w:ascii="Times New Roman" w:hAnsi="Times New Roman" w:eastAsia="黑体" w:cs="Times New Roman"/>
          <w:i w:val="0"/>
          <w:color w:val="000000"/>
          <w:kern w:val="0"/>
          <w:sz w:val="32"/>
          <w:szCs w:val="32"/>
          <w:u w:val="none"/>
          <w:lang w:val="en-US" w:eastAsia="zh-CN" w:bidi="ar"/>
        </w:rPr>
        <w:t>行政规范性文件</w:t>
      </w:r>
    </w:p>
    <w:p w14:paraId="7EFFA35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行政规范性文件，是指除政府规章外，由行政机关或者法律法规授权的具有管理公共事务职能的组织依照法定权限、程序制定并公开发布，涉及公民、法人或者其他组织的权利义务，</w:t>
      </w:r>
    </w:p>
    <w:p w14:paraId="5B78C88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color w:val="000000"/>
          <w:kern w:val="0"/>
          <w:sz w:val="32"/>
          <w:szCs w:val="32"/>
          <w:u w:val="none"/>
          <w:lang w:val="en-US" w:eastAsia="zh-CN" w:bidi="ar"/>
        </w:rPr>
        <w:t>具有普遍约束力，在一定期限内反复适用的公文。</w:t>
      </w:r>
    </w:p>
    <w:p w14:paraId="056D4AC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审查行政规范性文件的依据包括《自治区人民政府办公厅关于印发行政规范性文件合法性审核办法的通知》（宁政办发〔2023〕10号文件）以及《市人民政府办公室关于进一步加强行政规范性文件合法性审核工作的通知》（石政办发〔2023〕14号）。</w:t>
      </w:r>
    </w:p>
    <w:p w14:paraId="047D630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b/>
          <w:bCs/>
          <w:i w:val="0"/>
          <w:color w:val="000000"/>
          <w:kern w:val="0"/>
          <w:sz w:val="32"/>
          <w:szCs w:val="32"/>
          <w:u w:val="none"/>
          <w:lang w:val="en-US" w:eastAsia="zh-CN" w:bidi="ar"/>
        </w:rPr>
      </w:pPr>
      <w:r>
        <w:rPr>
          <w:rFonts w:hint="eastAsia" w:ascii="仿宋_GB2312" w:hAnsi="仿宋_GB2312" w:eastAsia="仿宋_GB2312" w:cs="仿宋_GB2312"/>
          <w:b/>
          <w:bCs/>
          <w:i w:val="0"/>
          <w:color w:val="000000"/>
          <w:kern w:val="0"/>
          <w:sz w:val="32"/>
          <w:szCs w:val="32"/>
          <w:u w:val="none"/>
          <w:lang w:val="en-US" w:eastAsia="zh-CN" w:bidi="ar"/>
        </w:rPr>
        <w:t>需要注意的是，以下文件不属于行政规范性文件：</w:t>
      </w:r>
    </w:p>
    <w:p w14:paraId="7171EBC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（一）会议文件，包括会议通知、会议纪要、会议讲话等；</w:t>
      </w:r>
    </w:p>
    <w:p w14:paraId="5D13EFD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（二）商洽性工作函，包括机关之间的商治工作、询问和答复，向有关主管部门请求批准等；</w:t>
      </w:r>
    </w:p>
    <w:p w14:paraId="6E25450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（三）不涉及公民、法人和其他组织权利义务的工作规划、计划、要点；</w:t>
      </w:r>
    </w:p>
    <w:p w14:paraId="5135F49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（四）内部考核、行政责任追究等方面的文件；</w:t>
      </w:r>
    </w:p>
    <w:p w14:paraId="36CDF32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（五）发文机关内部工作制度；</w:t>
      </w:r>
    </w:p>
    <w:p w14:paraId="0B69801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 xml:space="preserve">（六）人事任免及工作表彰、通报。  </w:t>
      </w:r>
    </w:p>
    <w:p w14:paraId="5C92728A">
      <w:pPr>
        <w:keepNext w:val="0"/>
        <w:keepLines w:val="0"/>
        <w:pageBreakBefore w:val="0"/>
        <w:kinsoku/>
        <w:wordWrap/>
        <w:overflowPunct/>
        <w:topLinePunct w:val="0"/>
        <w:autoSpaceDE/>
        <w:autoSpaceDN/>
        <w:bidi w:val="0"/>
        <w:adjustRightInd/>
        <w:snapToGrid/>
        <w:spacing w:after="0" w:line="560" w:lineRule="exact"/>
        <w:ind w:left="0" w:leftChars="0" w:firstLine="640" w:firstLineChars="200"/>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（七）成立工作领导小组、协调机构的通知；</w:t>
      </w:r>
    </w:p>
    <w:p w14:paraId="56350D41">
      <w:pPr>
        <w:keepNext w:val="0"/>
        <w:keepLines w:val="0"/>
        <w:pageBreakBefore w:val="0"/>
        <w:kinsoku/>
        <w:wordWrap/>
        <w:overflowPunct/>
        <w:topLinePunct w:val="0"/>
        <w:autoSpaceDE/>
        <w:autoSpaceDN/>
        <w:bidi w:val="0"/>
        <w:adjustRightInd/>
        <w:snapToGrid/>
        <w:spacing w:after="0" w:line="560" w:lineRule="exact"/>
        <w:ind w:left="0" w:leftChars="0" w:firstLine="640" w:firstLineChars="200"/>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（八）对小区、地名的命名的批复；</w:t>
      </w:r>
    </w:p>
    <w:p w14:paraId="035F3689">
      <w:pPr>
        <w:keepNext w:val="0"/>
        <w:keepLines w:val="0"/>
        <w:pageBreakBefore w:val="0"/>
        <w:kinsoku/>
        <w:wordWrap/>
        <w:overflowPunct/>
        <w:topLinePunct w:val="0"/>
        <w:autoSpaceDE/>
        <w:autoSpaceDN/>
        <w:bidi w:val="0"/>
        <w:adjustRightInd/>
        <w:snapToGrid/>
        <w:spacing w:after="0" w:line="560" w:lineRule="exact"/>
        <w:ind w:left="0" w:leftChars="0" w:firstLine="640" w:firstLineChars="200"/>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（九）征地补偿、安置方案；</w:t>
      </w:r>
    </w:p>
    <w:p w14:paraId="36C47BDB">
      <w:pPr>
        <w:keepNext w:val="0"/>
        <w:keepLines w:val="0"/>
        <w:pageBreakBefore w:val="0"/>
        <w:kinsoku/>
        <w:wordWrap/>
        <w:overflowPunct/>
        <w:topLinePunct w:val="0"/>
        <w:autoSpaceDE/>
        <w:autoSpaceDN/>
        <w:bidi w:val="0"/>
        <w:adjustRightInd/>
        <w:snapToGrid/>
        <w:spacing w:after="0" w:line="560" w:lineRule="exact"/>
        <w:ind w:left="0" w:leftChars="0" w:firstLine="640" w:firstLineChars="200"/>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（十）公示办事时间、办事地点等事项的便民通告；</w:t>
      </w:r>
    </w:p>
    <w:p w14:paraId="3363A44C">
      <w:pPr>
        <w:keepNext w:val="0"/>
        <w:keepLines w:val="0"/>
        <w:pageBreakBefore w:val="0"/>
        <w:kinsoku/>
        <w:wordWrap/>
        <w:overflowPunct/>
        <w:topLinePunct w:val="0"/>
        <w:autoSpaceDE/>
        <w:autoSpaceDN/>
        <w:bidi w:val="0"/>
        <w:adjustRightInd/>
        <w:snapToGrid/>
        <w:spacing w:after="0" w:line="560" w:lineRule="exact"/>
        <w:ind w:left="0" w:leftChars="0" w:firstLine="640" w:firstLineChars="200"/>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（十一）行政机关对公务员、行政机关职员、公办学校教职工、医疗机构工作人员及全额拨款事业单位职工、国有企业领导的人事、工资、绩效等方面管理的文件；</w:t>
      </w:r>
    </w:p>
    <w:p w14:paraId="60504001">
      <w:pPr>
        <w:keepNext w:val="0"/>
        <w:keepLines w:val="0"/>
        <w:pageBreakBefore w:val="0"/>
        <w:kinsoku/>
        <w:wordWrap/>
        <w:overflowPunct/>
        <w:topLinePunct w:val="0"/>
        <w:autoSpaceDE/>
        <w:autoSpaceDN/>
        <w:bidi w:val="0"/>
        <w:adjustRightInd/>
        <w:snapToGrid/>
        <w:spacing w:after="0" w:line="560" w:lineRule="exact"/>
        <w:ind w:left="0" w:leftChars="0" w:firstLine="640" w:firstLineChars="200"/>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（十二）财政部门会计核算制度等技术文件及下达的预算、分配资金、批复项目文件等；</w:t>
      </w:r>
    </w:p>
    <w:p w14:paraId="15C58AFA">
      <w:pPr>
        <w:keepNext w:val="0"/>
        <w:keepLines w:val="0"/>
        <w:pageBreakBefore w:val="0"/>
        <w:kinsoku/>
        <w:wordWrap/>
        <w:overflowPunct/>
        <w:topLinePunct w:val="0"/>
        <w:autoSpaceDE/>
        <w:autoSpaceDN/>
        <w:bidi w:val="0"/>
        <w:adjustRightInd/>
        <w:snapToGrid/>
        <w:spacing w:after="0" w:line="560" w:lineRule="exact"/>
        <w:ind w:left="0" w:leftChars="0" w:firstLine="640" w:firstLineChars="200"/>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（十三）行业技术标准文件、技术操作规程；</w:t>
      </w:r>
    </w:p>
    <w:p w14:paraId="4A627BDD">
      <w:pPr>
        <w:keepNext w:val="0"/>
        <w:keepLines w:val="0"/>
        <w:pageBreakBefore w:val="0"/>
        <w:kinsoku/>
        <w:wordWrap/>
        <w:overflowPunct/>
        <w:topLinePunct w:val="0"/>
        <w:autoSpaceDE/>
        <w:autoSpaceDN/>
        <w:bidi w:val="0"/>
        <w:adjustRightInd/>
        <w:snapToGrid/>
        <w:spacing w:after="0" w:line="560" w:lineRule="exact"/>
        <w:ind w:left="0" w:leftChars="0" w:firstLine="640" w:firstLineChars="200"/>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（十四）涉密文件；</w:t>
      </w:r>
    </w:p>
    <w:p w14:paraId="0B3FB64E">
      <w:pPr>
        <w:keepNext w:val="0"/>
        <w:keepLines w:val="0"/>
        <w:pageBreakBefore w:val="0"/>
        <w:kinsoku/>
        <w:wordWrap/>
        <w:overflowPunct/>
        <w:topLinePunct w:val="0"/>
        <w:autoSpaceDE/>
        <w:autoSpaceDN/>
        <w:bidi w:val="0"/>
        <w:adjustRightInd/>
        <w:snapToGrid/>
        <w:spacing w:after="0" w:line="560" w:lineRule="exact"/>
        <w:ind w:left="0" w:leftChars="0" w:firstLine="640" w:firstLineChars="200"/>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（十五）其他不符合《宁夏回族自治区行政规范性文件制定和备案办法》第三条规定的文件，均不纳入合法性审查范围。</w:t>
      </w:r>
    </w:p>
    <w:p w14:paraId="0F8ED6C3">
      <w:pPr>
        <w:keepNext w:val="0"/>
        <w:keepLines w:val="0"/>
        <w:pageBreakBefore w:val="0"/>
        <w:kinsoku/>
        <w:wordWrap/>
        <w:overflowPunct/>
        <w:topLinePunct w:val="0"/>
        <w:autoSpaceDE/>
        <w:autoSpaceDN/>
        <w:bidi w:val="0"/>
        <w:adjustRightInd/>
        <w:snapToGrid/>
        <w:spacing w:line="560" w:lineRule="exact"/>
        <w:ind w:firstLine="600" w:firstLineChars="200"/>
        <w:rPr>
          <w:rFonts w:hint="default" w:ascii="Times New Roman" w:hAnsi="Times New Roman" w:eastAsia="黑体" w:cs="Times New Roman"/>
          <w:i w:val="0"/>
          <w:color w:val="000000"/>
          <w:kern w:val="0"/>
          <w:sz w:val="32"/>
          <w:szCs w:val="32"/>
          <w:u w:val="none"/>
          <w:lang w:val="en-US" w:eastAsia="zh-CN" w:bidi="ar"/>
        </w:rPr>
      </w:pPr>
      <w:r>
        <w:rPr>
          <w:rFonts w:hint="eastAsia" w:ascii="Times New Roman" w:hAnsi="Times New Roman" w:eastAsia="黑体" w:cs="Times New Roman"/>
          <w:i w:val="0"/>
          <w:color w:val="000000"/>
          <w:kern w:val="0"/>
          <w:sz w:val="30"/>
          <w:szCs w:val="30"/>
          <w:u w:val="none"/>
          <w:lang w:val="en-US" w:eastAsia="zh-CN" w:bidi="ar"/>
        </w:rPr>
        <w:t xml:space="preserve"> </w:t>
      </w:r>
      <w:r>
        <w:rPr>
          <w:rFonts w:hint="eastAsia" w:ascii="Times New Roman" w:hAnsi="Times New Roman" w:eastAsia="黑体" w:cs="Times New Roman"/>
          <w:i w:val="0"/>
          <w:color w:val="000000"/>
          <w:kern w:val="0"/>
          <w:sz w:val="32"/>
          <w:szCs w:val="32"/>
          <w:u w:val="none"/>
          <w:lang w:val="en-US" w:eastAsia="zh-CN" w:bidi="ar"/>
        </w:rPr>
        <w:t>二、</w:t>
      </w:r>
      <w:r>
        <w:rPr>
          <w:rFonts w:hint="default" w:ascii="Times New Roman" w:hAnsi="Times New Roman" w:eastAsia="黑体" w:cs="Times New Roman"/>
          <w:i w:val="0"/>
          <w:color w:val="000000"/>
          <w:kern w:val="0"/>
          <w:sz w:val="32"/>
          <w:szCs w:val="32"/>
          <w:u w:val="none"/>
          <w:lang w:val="en-US" w:eastAsia="zh-CN" w:bidi="ar"/>
        </w:rPr>
        <w:t>行政协议</w:t>
      </w:r>
    </w:p>
    <w:p w14:paraId="1BC3ADD6">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i w:val="0"/>
          <w:color w:val="auto"/>
          <w:kern w:val="0"/>
          <w:sz w:val="32"/>
          <w:szCs w:val="32"/>
          <w:u w:val="none"/>
          <w:lang w:val="en-US" w:eastAsia="zh-CN" w:bidi="ar"/>
        </w:rPr>
      </w:pPr>
      <w:r>
        <w:rPr>
          <w:rFonts w:hint="default" w:ascii="Times New Roman" w:hAnsi="Times New Roman" w:eastAsia="仿宋_GB2312" w:cs="Times New Roman"/>
          <w:i w:val="0"/>
          <w:color w:val="auto"/>
          <w:kern w:val="0"/>
          <w:sz w:val="32"/>
          <w:szCs w:val="32"/>
          <w:u w:val="none"/>
          <w:lang w:val="en-US" w:eastAsia="zh-CN" w:bidi="ar"/>
        </w:rPr>
        <w:t>行政协议是指行政机关为了实现行政管理或者公共服务目标，与公民、法人或者其他组织协商后，签订的具有行政法上权利义务内容的协议。</w:t>
      </w:r>
    </w:p>
    <w:p w14:paraId="1D6D5B49">
      <w:pPr>
        <w:keepNext w:val="0"/>
        <w:keepLines w:val="0"/>
        <w:pageBreakBefore w:val="0"/>
        <w:kinsoku/>
        <w:wordWrap/>
        <w:overflowPunct/>
        <w:topLinePunct w:val="0"/>
        <w:autoSpaceDE/>
        <w:autoSpaceDN/>
        <w:bidi w:val="0"/>
        <w:adjustRightInd/>
        <w:snapToGrid/>
        <w:spacing w:after="0" w:line="560" w:lineRule="exact"/>
        <w:ind w:left="0" w:leftChars="0" w:firstLine="640" w:firstLineChars="200"/>
        <w:rPr>
          <w:rFonts w:hint="default" w:ascii="Times New Roman" w:hAnsi="Times New Roman" w:eastAsia="仿宋_GB2312" w:cs="Times New Roman"/>
          <w:i w:val="0"/>
          <w:color w:val="auto"/>
          <w:kern w:val="0"/>
          <w:sz w:val="32"/>
          <w:szCs w:val="32"/>
          <w:u w:val="none"/>
          <w:lang w:val="en-US" w:eastAsia="zh-CN" w:bidi="ar"/>
        </w:rPr>
      </w:pPr>
      <w:r>
        <w:rPr>
          <w:rFonts w:hint="default" w:ascii="Times New Roman" w:hAnsi="Times New Roman" w:eastAsia="仿宋_GB2312" w:cs="Times New Roman"/>
          <w:i w:val="0"/>
          <w:color w:val="auto"/>
          <w:kern w:val="0"/>
          <w:sz w:val="32"/>
          <w:szCs w:val="32"/>
          <w:u w:val="none"/>
          <w:lang w:val="en-US" w:eastAsia="zh-CN" w:bidi="ar"/>
        </w:rPr>
        <w:t>审查依据：《重大行政决策程序暂行条例》《宁夏回族自治区重大行政决策程序规定》《</w:t>
      </w:r>
      <w:r>
        <w:rPr>
          <w:rFonts w:hint="eastAsia" w:ascii="Times New Roman" w:hAnsi="Times New Roman" w:eastAsia="仿宋_GB2312" w:cs="Times New Roman"/>
          <w:i w:val="0"/>
          <w:color w:val="auto"/>
          <w:kern w:val="0"/>
          <w:sz w:val="32"/>
          <w:szCs w:val="32"/>
          <w:u w:val="none"/>
          <w:lang w:val="en-US" w:eastAsia="zh-CN" w:bidi="ar"/>
        </w:rPr>
        <w:t>中华人民共和国行政诉讼法</w:t>
      </w:r>
      <w:r>
        <w:rPr>
          <w:rFonts w:hint="default" w:ascii="Times New Roman" w:hAnsi="Times New Roman" w:eastAsia="仿宋_GB2312" w:cs="Times New Roman"/>
          <w:i w:val="0"/>
          <w:color w:val="auto"/>
          <w:kern w:val="0"/>
          <w:sz w:val="32"/>
          <w:szCs w:val="32"/>
          <w:u w:val="none"/>
          <w:lang w:val="en-US" w:eastAsia="zh-CN" w:bidi="ar"/>
        </w:rPr>
        <w:t>》《最高人民法院关于审理行政协议案件若</w:t>
      </w:r>
      <w:r>
        <w:rPr>
          <w:rFonts w:hint="eastAsia" w:ascii="Times New Roman" w:hAnsi="Times New Roman" w:eastAsia="仿宋_GB2312" w:cs="Times New Roman"/>
          <w:i w:val="0"/>
          <w:color w:val="auto"/>
          <w:kern w:val="0"/>
          <w:sz w:val="32"/>
          <w:szCs w:val="32"/>
          <w:u w:val="none"/>
          <w:lang w:val="en-US" w:eastAsia="zh-CN" w:bidi="ar"/>
        </w:rPr>
        <w:t>干</w:t>
      </w:r>
      <w:r>
        <w:rPr>
          <w:rFonts w:hint="default" w:ascii="Times New Roman" w:hAnsi="Times New Roman" w:eastAsia="仿宋_GB2312" w:cs="Times New Roman"/>
          <w:i w:val="0"/>
          <w:color w:val="auto"/>
          <w:kern w:val="0"/>
          <w:sz w:val="32"/>
          <w:szCs w:val="32"/>
          <w:u w:val="none"/>
          <w:lang w:val="en-US" w:eastAsia="zh-CN" w:bidi="ar"/>
        </w:rPr>
        <w:t>问题的规定》。</w:t>
      </w:r>
    </w:p>
    <w:p w14:paraId="6330A82F">
      <w:pPr>
        <w:keepNext w:val="0"/>
        <w:keepLines w:val="0"/>
        <w:pageBreakBefore w:val="0"/>
        <w:kinsoku/>
        <w:wordWrap/>
        <w:overflowPunct/>
        <w:topLinePunct w:val="0"/>
        <w:autoSpaceDE/>
        <w:autoSpaceDN/>
        <w:bidi w:val="0"/>
        <w:adjustRightInd/>
        <w:snapToGrid/>
        <w:spacing w:after="0" w:line="560" w:lineRule="exact"/>
        <w:ind w:left="0" w:leftChars="0" w:firstLine="640" w:firstLineChars="200"/>
        <w:rPr>
          <w:rFonts w:hint="default" w:ascii="Times New Roman" w:hAnsi="Times New Roman" w:eastAsia="仿宋_GB2312" w:cs="Times New Roman"/>
          <w:i w:val="0"/>
          <w:color w:val="auto"/>
          <w:kern w:val="0"/>
          <w:sz w:val="32"/>
          <w:szCs w:val="32"/>
          <w:u w:val="none"/>
          <w:lang w:val="en-US" w:eastAsia="zh-CN" w:bidi="ar"/>
        </w:rPr>
      </w:pPr>
      <w:r>
        <w:rPr>
          <w:rFonts w:hint="default" w:ascii="Times New Roman" w:hAnsi="Times New Roman" w:eastAsia="仿宋_GB2312" w:cs="Times New Roman"/>
          <w:i w:val="0"/>
          <w:color w:val="auto"/>
          <w:kern w:val="0"/>
          <w:sz w:val="32"/>
          <w:szCs w:val="32"/>
          <w:u w:val="none"/>
          <w:lang w:val="en-US" w:eastAsia="zh-CN" w:bidi="ar"/>
        </w:rPr>
        <w:t>提示：政府采购合同、劳动合同以及科技、课题合同按国家和自治区有关规定执行。</w:t>
      </w:r>
    </w:p>
    <w:p w14:paraId="435005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color w:val="auto"/>
          <w:kern w:val="0"/>
          <w:sz w:val="32"/>
          <w:szCs w:val="32"/>
          <w:u w:val="none"/>
          <w:lang w:val="en-US" w:eastAsia="zh-CN" w:bidi="ar"/>
        </w:rPr>
      </w:pPr>
      <w:r>
        <w:rPr>
          <w:rFonts w:hint="eastAsia" w:ascii="黑体" w:hAnsi="黑体" w:eastAsia="黑体" w:cs="黑体"/>
          <w:i w:val="0"/>
          <w:color w:val="auto"/>
          <w:kern w:val="0"/>
          <w:sz w:val="32"/>
          <w:szCs w:val="32"/>
          <w:u w:val="none"/>
          <w:lang w:val="en-US" w:eastAsia="zh-CN" w:bidi="ar"/>
        </w:rPr>
        <w:t>三、重大行政执法决定</w:t>
      </w:r>
    </w:p>
    <w:p w14:paraId="6FBC82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color w:val="auto"/>
          <w:kern w:val="0"/>
          <w:sz w:val="32"/>
          <w:szCs w:val="32"/>
          <w:u w:val="none"/>
          <w:lang w:val="en-US" w:eastAsia="zh-CN" w:bidi="ar"/>
        </w:rPr>
      </w:pPr>
      <w:r>
        <w:rPr>
          <w:rFonts w:hint="default" w:ascii="Times New Roman" w:hAnsi="Times New Roman" w:eastAsia="仿宋_GB2312" w:cs="Times New Roman"/>
          <w:i w:val="0"/>
          <w:color w:val="auto"/>
          <w:kern w:val="0"/>
          <w:sz w:val="32"/>
          <w:szCs w:val="32"/>
          <w:u w:val="none"/>
          <w:lang w:val="en-US" w:eastAsia="zh-CN" w:bidi="ar"/>
        </w:rPr>
        <w:t>重大行政执法决定是行政机关依法作出的重大行政处罚、行政许可、行政强制、行政征收等行政执法决定。重大行政执法决定包括以下事项：</w:t>
      </w:r>
    </w:p>
    <w:p w14:paraId="06E779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color w:val="auto"/>
          <w:kern w:val="0"/>
          <w:sz w:val="32"/>
          <w:szCs w:val="32"/>
          <w:u w:val="none"/>
          <w:lang w:val="en-US" w:eastAsia="zh-CN" w:bidi="ar"/>
        </w:rPr>
      </w:pPr>
      <w:r>
        <w:rPr>
          <w:rFonts w:hint="eastAsia" w:ascii="Times New Roman" w:hAnsi="Times New Roman" w:eastAsia="仿宋_GB2312" w:cs="Times New Roman"/>
          <w:i w:val="0"/>
          <w:color w:val="auto"/>
          <w:kern w:val="0"/>
          <w:sz w:val="32"/>
          <w:szCs w:val="32"/>
          <w:u w:val="none"/>
          <w:lang w:val="en-US" w:eastAsia="zh-CN" w:bidi="ar"/>
        </w:rPr>
        <w:t>（一）</w:t>
      </w:r>
      <w:r>
        <w:rPr>
          <w:rFonts w:hint="default" w:ascii="Times New Roman" w:hAnsi="Times New Roman" w:eastAsia="仿宋_GB2312" w:cs="Times New Roman"/>
          <w:i w:val="0"/>
          <w:color w:val="auto"/>
          <w:kern w:val="0"/>
          <w:sz w:val="32"/>
          <w:szCs w:val="32"/>
          <w:u w:val="none"/>
          <w:lang w:val="en-US" w:eastAsia="zh-CN" w:bidi="ar"/>
        </w:rPr>
        <w:t>涉及重大国家利益和公共利益的；</w:t>
      </w:r>
    </w:p>
    <w:p w14:paraId="2CC311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color w:val="auto"/>
          <w:kern w:val="0"/>
          <w:sz w:val="32"/>
          <w:szCs w:val="32"/>
          <w:u w:val="none"/>
          <w:lang w:val="en-US" w:eastAsia="zh-CN" w:bidi="ar"/>
        </w:rPr>
      </w:pPr>
      <w:r>
        <w:rPr>
          <w:rFonts w:hint="eastAsia" w:ascii="Times New Roman" w:hAnsi="Times New Roman" w:eastAsia="仿宋_GB2312" w:cs="Times New Roman"/>
          <w:i w:val="0"/>
          <w:color w:val="auto"/>
          <w:kern w:val="0"/>
          <w:sz w:val="32"/>
          <w:szCs w:val="32"/>
          <w:u w:val="none"/>
          <w:lang w:val="en-US" w:eastAsia="zh-CN" w:bidi="ar"/>
        </w:rPr>
        <w:t>（二）</w:t>
      </w:r>
      <w:r>
        <w:rPr>
          <w:rFonts w:hint="default" w:ascii="Times New Roman" w:hAnsi="Times New Roman" w:eastAsia="仿宋_GB2312" w:cs="Times New Roman"/>
          <w:i w:val="0"/>
          <w:color w:val="auto"/>
          <w:kern w:val="0"/>
          <w:sz w:val="32"/>
          <w:szCs w:val="32"/>
          <w:u w:val="none"/>
          <w:lang w:val="en-US" w:eastAsia="zh-CN" w:bidi="ar"/>
        </w:rPr>
        <w:t>案件情况复杂或者社会影响较大的；</w:t>
      </w:r>
    </w:p>
    <w:p w14:paraId="4FA859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color w:val="auto"/>
          <w:kern w:val="0"/>
          <w:sz w:val="32"/>
          <w:szCs w:val="32"/>
          <w:u w:val="none"/>
          <w:lang w:val="en-US" w:eastAsia="zh-CN" w:bidi="ar"/>
        </w:rPr>
      </w:pPr>
      <w:r>
        <w:rPr>
          <w:rFonts w:hint="eastAsia" w:ascii="Times New Roman" w:hAnsi="Times New Roman" w:eastAsia="仿宋_GB2312" w:cs="Times New Roman"/>
          <w:i w:val="0"/>
          <w:color w:val="auto"/>
          <w:kern w:val="0"/>
          <w:sz w:val="32"/>
          <w:szCs w:val="32"/>
          <w:u w:val="none"/>
          <w:lang w:val="en-US" w:eastAsia="zh-CN" w:bidi="ar"/>
        </w:rPr>
        <w:t>（三）</w:t>
      </w:r>
      <w:r>
        <w:rPr>
          <w:rFonts w:hint="default" w:ascii="Times New Roman" w:hAnsi="Times New Roman" w:eastAsia="仿宋_GB2312" w:cs="Times New Roman"/>
          <w:i w:val="0"/>
          <w:color w:val="auto"/>
          <w:kern w:val="0"/>
          <w:sz w:val="32"/>
          <w:szCs w:val="32"/>
          <w:u w:val="none"/>
          <w:lang w:val="en-US" w:eastAsia="zh-CN" w:bidi="ar"/>
        </w:rPr>
        <w:t>需经听证程序作出决定的；</w:t>
      </w:r>
    </w:p>
    <w:p w14:paraId="4244F7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color w:val="auto"/>
          <w:kern w:val="0"/>
          <w:sz w:val="32"/>
          <w:szCs w:val="32"/>
          <w:u w:val="none"/>
          <w:lang w:val="en-US" w:eastAsia="zh-CN" w:bidi="ar"/>
        </w:rPr>
      </w:pPr>
      <w:r>
        <w:rPr>
          <w:rFonts w:hint="eastAsia" w:ascii="Times New Roman" w:hAnsi="Times New Roman" w:eastAsia="仿宋_GB2312" w:cs="Times New Roman"/>
          <w:i w:val="0"/>
          <w:color w:val="auto"/>
          <w:kern w:val="0"/>
          <w:sz w:val="32"/>
          <w:szCs w:val="32"/>
          <w:u w:val="none"/>
          <w:lang w:val="en-US" w:eastAsia="zh-CN" w:bidi="ar"/>
        </w:rPr>
        <w:t>（四）法律法规</w:t>
      </w:r>
      <w:r>
        <w:rPr>
          <w:rFonts w:hint="default" w:ascii="Times New Roman" w:hAnsi="Times New Roman" w:eastAsia="仿宋_GB2312" w:cs="Times New Roman"/>
          <w:i w:val="0"/>
          <w:color w:val="auto"/>
          <w:kern w:val="0"/>
          <w:sz w:val="32"/>
          <w:szCs w:val="32"/>
          <w:u w:val="none"/>
          <w:lang w:val="en-US" w:eastAsia="zh-CN" w:bidi="ar"/>
        </w:rPr>
        <w:t>、规章规定应当进行法制审核的。</w:t>
      </w:r>
    </w:p>
    <w:p w14:paraId="03903DC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i w:val="0"/>
          <w:color w:val="auto"/>
          <w:kern w:val="0"/>
          <w:sz w:val="32"/>
          <w:szCs w:val="32"/>
          <w:u w:val="none"/>
          <w:lang w:val="en-US" w:eastAsia="zh-CN" w:bidi="ar"/>
        </w:rPr>
      </w:pPr>
      <w:r>
        <w:rPr>
          <w:rFonts w:hint="eastAsia" w:ascii="Times New Roman" w:hAnsi="Times New Roman" w:eastAsia="仿宋_GB2312" w:cs="Times New Roman"/>
          <w:i w:val="0"/>
          <w:color w:val="auto"/>
          <w:kern w:val="0"/>
          <w:sz w:val="32"/>
          <w:szCs w:val="32"/>
          <w:u w:val="none"/>
          <w:lang w:val="en-US" w:eastAsia="zh-CN" w:bidi="ar"/>
        </w:rPr>
        <w:t>审查</w:t>
      </w:r>
      <w:r>
        <w:rPr>
          <w:rFonts w:hint="default" w:ascii="Times New Roman" w:hAnsi="Times New Roman" w:eastAsia="仿宋_GB2312" w:cs="Times New Roman"/>
          <w:i w:val="0"/>
          <w:color w:val="auto"/>
          <w:kern w:val="0"/>
          <w:sz w:val="32"/>
          <w:szCs w:val="32"/>
          <w:u w:val="none"/>
          <w:lang w:val="en-US" w:eastAsia="zh-CN" w:bidi="ar"/>
        </w:rPr>
        <w:t>依据：《中华人民共和国行政处罚法》《国务院办公厅关于全面推行行政执法公示制度执法全过程记录制度重大执法决定法制审核制度的指导意见》</w:t>
      </w:r>
      <w:bookmarkStart w:id="0" w:name="_GoBack"/>
      <w:bookmarkEnd w:id="0"/>
      <w:r>
        <w:rPr>
          <w:rFonts w:hint="default" w:ascii="Times New Roman" w:hAnsi="Times New Roman" w:eastAsia="仿宋_GB2312" w:cs="Times New Roman"/>
          <w:i w:val="0"/>
          <w:color w:val="auto"/>
          <w:kern w:val="0"/>
          <w:sz w:val="32"/>
          <w:szCs w:val="32"/>
          <w:u w:val="none"/>
          <w:lang w:val="en-US" w:eastAsia="zh-CN" w:bidi="ar"/>
        </w:rPr>
        <w:t>等法律法规规定。</w:t>
      </w:r>
      <w:r>
        <w:rPr>
          <w:rFonts w:hint="eastAsia" w:ascii="Times New Roman" w:hAnsi="Times New Roman" w:eastAsia="仿宋_GB2312" w:cs="Times New Roman"/>
          <w:i w:val="0"/>
          <w:color w:val="auto"/>
          <w:kern w:val="0"/>
          <w:sz w:val="32"/>
          <w:szCs w:val="32"/>
          <w:u w:val="none"/>
          <w:lang w:val="en-US" w:eastAsia="zh-CN" w:bidi="ar"/>
        </w:rPr>
        <w:t xml:space="preserve">  </w:t>
      </w:r>
    </w:p>
    <w:p w14:paraId="0CC2BE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i w:val="0"/>
          <w:color w:val="auto"/>
          <w:kern w:val="0"/>
          <w:sz w:val="32"/>
          <w:szCs w:val="32"/>
          <w:u w:val="none"/>
          <w:lang w:val="en-US" w:eastAsia="zh-CN" w:bidi="ar"/>
        </w:rPr>
      </w:pPr>
      <w:r>
        <w:rPr>
          <w:rFonts w:hint="eastAsia" w:ascii="Times New Roman" w:hAnsi="Times New Roman" w:eastAsia="仿宋_GB2312" w:cs="Times New Roman"/>
          <w:i w:val="0"/>
          <w:color w:val="auto"/>
          <w:kern w:val="0"/>
          <w:sz w:val="32"/>
          <w:szCs w:val="32"/>
          <w:u w:val="none"/>
          <w:lang w:val="en-US" w:eastAsia="zh-CN" w:bidi="ar"/>
        </w:rPr>
        <w:t xml:space="preserve">提示：重大执法决定审查既包括行政执法决定合法性方面的内容，也包括行政执法决定适当性方面的内容。具体为：  </w:t>
      </w:r>
    </w:p>
    <w:p w14:paraId="1F52F3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i w:val="0"/>
          <w:color w:val="auto"/>
          <w:kern w:val="0"/>
          <w:sz w:val="32"/>
          <w:szCs w:val="32"/>
          <w:u w:val="none"/>
          <w:lang w:val="en-US" w:eastAsia="zh-CN" w:bidi="ar"/>
        </w:rPr>
      </w:pPr>
      <w:r>
        <w:rPr>
          <w:rFonts w:hint="eastAsia" w:ascii="Times New Roman" w:hAnsi="Times New Roman" w:eastAsia="仿宋_GB2312" w:cs="Times New Roman"/>
          <w:i w:val="0"/>
          <w:color w:val="auto"/>
          <w:kern w:val="0"/>
          <w:sz w:val="32"/>
          <w:szCs w:val="32"/>
          <w:u w:val="none"/>
          <w:lang w:val="en-US" w:eastAsia="zh-CN" w:bidi="ar"/>
        </w:rPr>
        <w:t>（一）行政执法主体和行政执法人员的合法性。</w:t>
      </w:r>
    </w:p>
    <w:p w14:paraId="58AB0A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i w:val="0"/>
          <w:color w:val="auto"/>
          <w:kern w:val="0"/>
          <w:sz w:val="32"/>
          <w:szCs w:val="32"/>
          <w:u w:val="none"/>
          <w:lang w:val="en-US" w:eastAsia="zh-CN" w:bidi="ar"/>
        </w:rPr>
      </w:pPr>
      <w:r>
        <w:rPr>
          <w:rFonts w:hint="eastAsia" w:ascii="Times New Roman" w:hAnsi="Times New Roman" w:eastAsia="仿宋_GB2312" w:cs="Times New Roman"/>
          <w:i w:val="0"/>
          <w:color w:val="auto"/>
          <w:kern w:val="0"/>
          <w:sz w:val="32"/>
          <w:szCs w:val="32"/>
          <w:u w:val="none"/>
          <w:lang w:val="en-US" w:eastAsia="zh-CN" w:bidi="ar"/>
        </w:rPr>
        <w:t>（二）行政执法的权限是否合法。</w:t>
      </w:r>
    </w:p>
    <w:p w14:paraId="3FE9A74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i w:val="0"/>
          <w:color w:val="auto"/>
          <w:kern w:val="0"/>
          <w:sz w:val="32"/>
          <w:szCs w:val="32"/>
          <w:u w:val="none"/>
          <w:lang w:val="en-US" w:eastAsia="zh-CN" w:bidi="ar"/>
        </w:rPr>
      </w:pPr>
      <w:r>
        <w:rPr>
          <w:rFonts w:hint="eastAsia" w:ascii="Times New Roman" w:hAnsi="Times New Roman" w:eastAsia="仿宋_GB2312" w:cs="Times New Roman"/>
          <w:i w:val="0"/>
          <w:color w:val="auto"/>
          <w:kern w:val="0"/>
          <w:sz w:val="32"/>
          <w:szCs w:val="32"/>
          <w:u w:val="none"/>
          <w:lang w:val="en-US" w:eastAsia="zh-CN" w:bidi="ar"/>
        </w:rPr>
        <w:t>（三）行政执法的程序是否合法。</w:t>
      </w:r>
    </w:p>
    <w:p w14:paraId="7CDF091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i w:val="0"/>
          <w:color w:val="auto"/>
          <w:kern w:val="0"/>
          <w:sz w:val="32"/>
          <w:szCs w:val="32"/>
          <w:u w:val="none"/>
          <w:lang w:val="en-US" w:eastAsia="zh-CN" w:bidi="ar"/>
        </w:rPr>
      </w:pPr>
      <w:r>
        <w:rPr>
          <w:rFonts w:hint="eastAsia" w:ascii="Times New Roman" w:hAnsi="Times New Roman" w:eastAsia="仿宋_GB2312" w:cs="Times New Roman"/>
          <w:i w:val="0"/>
          <w:color w:val="auto"/>
          <w:kern w:val="0"/>
          <w:sz w:val="32"/>
          <w:szCs w:val="32"/>
          <w:u w:val="none"/>
          <w:lang w:val="en-US" w:eastAsia="zh-CN" w:bidi="ar"/>
        </w:rPr>
        <w:t>（四）案件事实是否清楚，证据是否合法充分。</w:t>
      </w:r>
    </w:p>
    <w:p w14:paraId="159F7A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i w:val="0"/>
          <w:color w:val="auto"/>
          <w:kern w:val="0"/>
          <w:sz w:val="32"/>
          <w:szCs w:val="32"/>
          <w:u w:val="none"/>
          <w:lang w:val="en-US" w:eastAsia="zh-CN" w:bidi="ar"/>
        </w:rPr>
      </w:pPr>
      <w:r>
        <w:rPr>
          <w:rFonts w:hint="eastAsia" w:ascii="Times New Roman" w:hAnsi="Times New Roman" w:eastAsia="仿宋_GB2312" w:cs="Times New Roman"/>
          <w:i w:val="0"/>
          <w:color w:val="auto"/>
          <w:kern w:val="0"/>
          <w:sz w:val="32"/>
          <w:szCs w:val="32"/>
          <w:u w:val="none"/>
          <w:lang w:val="en-US" w:eastAsia="zh-CN" w:bidi="ar"/>
        </w:rPr>
        <w:t>（五）适用法律、法规、规章等依据是否准确，裁量基准运用是否适当。</w:t>
      </w:r>
    </w:p>
    <w:p w14:paraId="3F2390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i w:val="0"/>
          <w:color w:val="auto"/>
          <w:kern w:val="0"/>
          <w:sz w:val="32"/>
          <w:szCs w:val="32"/>
          <w:u w:val="none"/>
          <w:lang w:val="en-US" w:eastAsia="zh-CN" w:bidi="ar"/>
        </w:rPr>
      </w:pPr>
      <w:r>
        <w:rPr>
          <w:rFonts w:hint="eastAsia" w:ascii="Times New Roman" w:hAnsi="Times New Roman" w:eastAsia="仿宋_GB2312" w:cs="Times New Roman"/>
          <w:i w:val="0"/>
          <w:color w:val="auto"/>
          <w:kern w:val="0"/>
          <w:sz w:val="32"/>
          <w:szCs w:val="32"/>
          <w:u w:val="none"/>
          <w:lang w:val="en-US" w:eastAsia="zh-CN" w:bidi="ar"/>
        </w:rPr>
        <w:t>（六）行政执法文书是否完善、规范。</w:t>
      </w:r>
    </w:p>
    <w:p w14:paraId="6792CB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color w:val="auto"/>
          <w:kern w:val="0"/>
          <w:sz w:val="32"/>
          <w:szCs w:val="32"/>
          <w:u w:val="none"/>
          <w:lang w:val="en-US" w:eastAsia="zh-CN" w:bidi="ar"/>
        </w:rPr>
      </w:pPr>
      <w:r>
        <w:rPr>
          <w:rFonts w:hint="eastAsia" w:ascii="Times New Roman" w:hAnsi="Times New Roman" w:eastAsia="仿宋_GB2312" w:cs="Times New Roman"/>
          <w:i w:val="0"/>
          <w:color w:val="auto"/>
          <w:kern w:val="0"/>
          <w:sz w:val="32"/>
          <w:szCs w:val="32"/>
          <w:u w:val="none"/>
          <w:lang w:val="en-US" w:eastAsia="zh-CN" w:bidi="ar"/>
        </w:rPr>
        <w:t>（七）违法行为是否涉嫌犯罪，需要移送司法机关。</w:t>
      </w:r>
    </w:p>
    <w:p w14:paraId="37A4C4CC">
      <w:pPr>
        <w:pStyle w:val="4"/>
        <w:rPr>
          <w:rFonts w:hint="default"/>
          <w:lang w:val="en-US" w:eastAsia="zh-CN"/>
        </w:rPr>
      </w:pPr>
    </w:p>
    <w:sectPr>
      <w:footerReference r:id="rId3" w:type="default"/>
      <w:pgSz w:w="11906" w:h="16838"/>
      <w:pgMar w:top="1588" w:right="1588" w:bottom="1588" w:left="1588" w:header="851" w:footer="992" w:gutter="0"/>
      <w:pgNumType w:fmt="decimal"/>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panose1 w:val="02010609030101010101"/>
    <w:charset w:val="86"/>
    <w:family w:val="modern"/>
    <w:pitch w:val="default"/>
    <w:sig w:usb0="00000001" w:usb1="080E0000" w:usb2="00000000" w:usb3="00000000" w:csb0="00040000" w:csb1="00000000"/>
  </w:font>
  <w:font w:name="Tahoma">
    <w:altName w:val="Droid Sans"/>
    <w:panose1 w:val="020B0604030504040204"/>
    <w:charset w:val="00"/>
    <w:family w:val="swiss"/>
    <w:pitch w:val="default"/>
    <w:sig w:usb0="00000000" w:usb1="00000000" w:usb2="00000029" w:usb3="00000000" w:csb0="200101FF" w:csb1="20280000"/>
  </w:font>
  <w:font w:name="Droid Sans">
    <w:panose1 w:val="020B0606030804020204"/>
    <w:charset w:val="00"/>
    <w:family w:val="auto"/>
    <w:pitch w:val="default"/>
    <w:sig w:usb0="E00002EF" w:usb1="4000205B" w:usb2="00000028" w:usb3="00000000" w:csb0="2000019F"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2786F">
    <w:pPr>
      <w:pStyle w:val="8"/>
      <w:jc w:val="center"/>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F93482">
                          <w:pPr>
                            <w:pStyle w:val="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2F93482">
                    <w:pPr>
                      <w:pStyle w:val="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p w14:paraId="7D6E187E">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3NDQ5Y2I4ZDQ3YmNkZjQ2NjhjYzgyMzk1YWY3MmMifQ=="/>
    <w:docVar w:name="KSO_WPS_MARK_KEY" w:val="14c07487-01b1-4f0c-ad01-84ace750cb7b"/>
  </w:docVars>
  <w:rsids>
    <w:rsidRoot w:val="6CDE2783"/>
    <w:rsid w:val="00053EFE"/>
    <w:rsid w:val="000858E5"/>
    <w:rsid w:val="000A7163"/>
    <w:rsid w:val="000D6D3E"/>
    <w:rsid w:val="000F6008"/>
    <w:rsid w:val="001174B0"/>
    <w:rsid w:val="0012040A"/>
    <w:rsid w:val="00124CB4"/>
    <w:rsid w:val="00175611"/>
    <w:rsid w:val="001A7A5D"/>
    <w:rsid w:val="001B1AC5"/>
    <w:rsid w:val="001B35A7"/>
    <w:rsid w:val="0020587D"/>
    <w:rsid w:val="00267CA4"/>
    <w:rsid w:val="002831E7"/>
    <w:rsid w:val="00285D8F"/>
    <w:rsid w:val="002B5FFA"/>
    <w:rsid w:val="002D20E6"/>
    <w:rsid w:val="002D4A98"/>
    <w:rsid w:val="00335C39"/>
    <w:rsid w:val="0038237D"/>
    <w:rsid w:val="003B3CC2"/>
    <w:rsid w:val="00430048"/>
    <w:rsid w:val="004A6CE9"/>
    <w:rsid w:val="00550754"/>
    <w:rsid w:val="005A7EC4"/>
    <w:rsid w:val="005C5EDB"/>
    <w:rsid w:val="005D29DA"/>
    <w:rsid w:val="00602300"/>
    <w:rsid w:val="00613B91"/>
    <w:rsid w:val="00682F13"/>
    <w:rsid w:val="00685DF5"/>
    <w:rsid w:val="00692656"/>
    <w:rsid w:val="006C322C"/>
    <w:rsid w:val="006C34BF"/>
    <w:rsid w:val="006D2296"/>
    <w:rsid w:val="00703B71"/>
    <w:rsid w:val="00710050"/>
    <w:rsid w:val="00724C73"/>
    <w:rsid w:val="007954F6"/>
    <w:rsid w:val="00795BFA"/>
    <w:rsid w:val="00797A9F"/>
    <w:rsid w:val="007B0D50"/>
    <w:rsid w:val="007B11C9"/>
    <w:rsid w:val="007C7269"/>
    <w:rsid w:val="00805D88"/>
    <w:rsid w:val="00880E45"/>
    <w:rsid w:val="008C5E13"/>
    <w:rsid w:val="008D10B0"/>
    <w:rsid w:val="008E7715"/>
    <w:rsid w:val="009011F4"/>
    <w:rsid w:val="0097164C"/>
    <w:rsid w:val="00A30227"/>
    <w:rsid w:val="00A5175A"/>
    <w:rsid w:val="00A73953"/>
    <w:rsid w:val="00A84C09"/>
    <w:rsid w:val="00AD3580"/>
    <w:rsid w:val="00AE53F7"/>
    <w:rsid w:val="00B20FCD"/>
    <w:rsid w:val="00B42B21"/>
    <w:rsid w:val="00B446F2"/>
    <w:rsid w:val="00BC0122"/>
    <w:rsid w:val="00C163F0"/>
    <w:rsid w:val="00C16A5C"/>
    <w:rsid w:val="00C375BD"/>
    <w:rsid w:val="00C41AE7"/>
    <w:rsid w:val="00C6168A"/>
    <w:rsid w:val="00C62107"/>
    <w:rsid w:val="00CD095C"/>
    <w:rsid w:val="00CE0AFB"/>
    <w:rsid w:val="00D10426"/>
    <w:rsid w:val="00D60C06"/>
    <w:rsid w:val="00D80CE5"/>
    <w:rsid w:val="00DD02B2"/>
    <w:rsid w:val="00E76BCE"/>
    <w:rsid w:val="00EB522B"/>
    <w:rsid w:val="00EC7780"/>
    <w:rsid w:val="00F06978"/>
    <w:rsid w:val="00F673F0"/>
    <w:rsid w:val="00F957EC"/>
    <w:rsid w:val="00FD7626"/>
    <w:rsid w:val="00FF12AD"/>
    <w:rsid w:val="01162041"/>
    <w:rsid w:val="019E321A"/>
    <w:rsid w:val="043F1A23"/>
    <w:rsid w:val="04F80D9E"/>
    <w:rsid w:val="06A52151"/>
    <w:rsid w:val="076C4A81"/>
    <w:rsid w:val="08950C40"/>
    <w:rsid w:val="0C1426F5"/>
    <w:rsid w:val="0CA42CA9"/>
    <w:rsid w:val="0E7C25BE"/>
    <w:rsid w:val="0FF715BD"/>
    <w:rsid w:val="10464D50"/>
    <w:rsid w:val="10912050"/>
    <w:rsid w:val="10A1086C"/>
    <w:rsid w:val="11772F8B"/>
    <w:rsid w:val="12DD0BBC"/>
    <w:rsid w:val="130B6CDF"/>
    <w:rsid w:val="14503EEA"/>
    <w:rsid w:val="14DB2CF4"/>
    <w:rsid w:val="15932CE7"/>
    <w:rsid w:val="15AD5F98"/>
    <w:rsid w:val="15B14BD7"/>
    <w:rsid w:val="18951E20"/>
    <w:rsid w:val="1A0B00A4"/>
    <w:rsid w:val="1A8B389B"/>
    <w:rsid w:val="1AEB2689"/>
    <w:rsid w:val="1B5C0EDC"/>
    <w:rsid w:val="1E3D2BA3"/>
    <w:rsid w:val="1ED358E7"/>
    <w:rsid w:val="1FD50391"/>
    <w:rsid w:val="21132655"/>
    <w:rsid w:val="224F1B48"/>
    <w:rsid w:val="22A1232F"/>
    <w:rsid w:val="22AD68BF"/>
    <w:rsid w:val="2388744E"/>
    <w:rsid w:val="27A24D0D"/>
    <w:rsid w:val="286E7F0C"/>
    <w:rsid w:val="28727D8F"/>
    <w:rsid w:val="28837BD5"/>
    <w:rsid w:val="299B7A22"/>
    <w:rsid w:val="2B051558"/>
    <w:rsid w:val="2C6B0375"/>
    <w:rsid w:val="2C9A53B8"/>
    <w:rsid w:val="2E6115DE"/>
    <w:rsid w:val="30F045CE"/>
    <w:rsid w:val="329A1E20"/>
    <w:rsid w:val="32AD0686"/>
    <w:rsid w:val="32BE0D10"/>
    <w:rsid w:val="333F44D9"/>
    <w:rsid w:val="336E7970"/>
    <w:rsid w:val="340D7169"/>
    <w:rsid w:val="358E9512"/>
    <w:rsid w:val="35CD0E47"/>
    <w:rsid w:val="36D514F3"/>
    <w:rsid w:val="37067AA6"/>
    <w:rsid w:val="389159E1"/>
    <w:rsid w:val="3A2A342C"/>
    <w:rsid w:val="3A30457C"/>
    <w:rsid w:val="3BBB74FE"/>
    <w:rsid w:val="3C161A8C"/>
    <w:rsid w:val="3C6A36E0"/>
    <w:rsid w:val="3DA73A0C"/>
    <w:rsid w:val="3E2F04F4"/>
    <w:rsid w:val="40BB77D1"/>
    <w:rsid w:val="413C6A80"/>
    <w:rsid w:val="41683F92"/>
    <w:rsid w:val="423A7B27"/>
    <w:rsid w:val="43393358"/>
    <w:rsid w:val="43CB7338"/>
    <w:rsid w:val="43F72FDC"/>
    <w:rsid w:val="45156F76"/>
    <w:rsid w:val="4635659B"/>
    <w:rsid w:val="466E0847"/>
    <w:rsid w:val="49DC4DAE"/>
    <w:rsid w:val="4A3D6EC6"/>
    <w:rsid w:val="4AB67506"/>
    <w:rsid w:val="4E0F03AF"/>
    <w:rsid w:val="4E1A33D4"/>
    <w:rsid w:val="53E27FBC"/>
    <w:rsid w:val="549A0AF6"/>
    <w:rsid w:val="551867FC"/>
    <w:rsid w:val="57880097"/>
    <w:rsid w:val="57B93033"/>
    <w:rsid w:val="57BB3A22"/>
    <w:rsid w:val="586D5C42"/>
    <w:rsid w:val="589A35D2"/>
    <w:rsid w:val="589E69E3"/>
    <w:rsid w:val="59A66EDD"/>
    <w:rsid w:val="59F539F0"/>
    <w:rsid w:val="5B244DBF"/>
    <w:rsid w:val="5B7E4354"/>
    <w:rsid w:val="5F3D66CF"/>
    <w:rsid w:val="61E13D89"/>
    <w:rsid w:val="62592FE3"/>
    <w:rsid w:val="660B4984"/>
    <w:rsid w:val="661E255B"/>
    <w:rsid w:val="667477BE"/>
    <w:rsid w:val="66E55CA2"/>
    <w:rsid w:val="6832223B"/>
    <w:rsid w:val="684246D1"/>
    <w:rsid w:val="6BBF226A"/>
    <w:rsid w:val="6CDE2783"/>
    <w:rsid w:val="6D1A09DE"/>
    <w:rsid w:val="6D1A3CBF"/>
    <w:rsid w:val="6E0D3F90"/>
    <w:rsid w:val="6F5A1553"/>
    <w:rsid w:val="6FA1375E"/>
    <w:rsid w:val="70B43D5E"/>
    <w:rsid w:val="71207A07"/>
    <w:rsid w:val="74D70FC0"/>
    <w:rsid w:val="75D2310C"/>
    <w:rsid w:val="77C473A3"/>
    <w:rsid w:val="7811294E"/>
    <w:rsid w:val="78716DCB"/>
    <w:rsid w:val="79422D3C"/>
    <w:rsid w:val="7A4A4ABB"/>
    <w:rsid w:val="7B2C6201"/>
    <w:rsid w:val="7CD546D2"/>
    <w:rsid w:val="7DB714DB"/>
    <w:rsid w:val="7DBE5F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unhideWhenUsed/>
    <w:qFormat/>
    <w:uiPriority w:val="0"/>
    <w:pPr>
      <w:keepNext/>
      <w:keepLines/>
      <w:spacing w:before="260" w:beforeLines="0" w:after="260" w:afterLines="0" w:line="416" w:lineRule="auto"/>
      <w:outlineLvl w:val="1"/>
    </w:pPr>
    <w:rPr>
      <w:rFonts w:ascii="Cambria" w:hAnsi="Cambria"/>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Body Text First Indent 21"/>
    <w:basedOn w:val="3"/>
    <w:next w:val="4"/>
    <w:qFormat/>
    <w:uiPriority w:val="0"/>
    <w:pPr>
      <w:ind w:firstLine="420" w:firstLineChars="200"/>
    </w:pPr>
    <w:rPr>
      <w:rFonts w:ascii="Times New Roman" w:hAnsi="Times New Roman" w:cs="Times New Roman"/>
    </w:rPr>
  </w:style>
  <w:style w:type="paragraph" w:customStyle="1" w:styleId="3">
    <w:name w:val="Body Text Indent1"/>
    <w:basedOn w:val="1"/>
    <w:qFormat/>
    <w:uiPriority w:val="0"/>
    <w:pPr>
      <w:spacing w:after="120" w:afterLines="0"/>
      <w:ind w:left="420" w:leftChars="200"/>
    </w:pPr>
  </w:style>
  <w:style w:type="paragraph" w:styleId="4">
    <w:name w:val="Body Text"/>
    <w:basedOn w:val="1"/>
    <w:qFormat/>
    <w:uiPriority w:val="0"/>
    <w:pPr>
      <w:spacing w:after="120" w:afterLines="0"/>
    </w:pPr>
  </w:style>
  <w:style w:type="paragraph" w:styleId="6">
    <w:name w:val="Body Text Indent"/>
    <w:basedOn w:val="1"/>
    <w:unhideWhenUsed/>
    <w:qFormat/>
    <w:uiPriority w:val="99"/>
    <w:pPr>
      <w:spacing w:after="120"/>
      <w:ind w:left="420" w:leftChars="200"/>
    </w:pPr>
  </w:style>
  <w:style w:type="paragraph" w:styleId="7">
    <w:name w:val="Balloon Text"/>
    <w:basedOn w:val="1"/>
    <w:link w:val="31"/>
    <w:qFormat/>
    <w:uiPriority w:val="0"/>
    <w:rPr>
      <w:sz w:val="18"/>
      <w:szCs w:val="18"/>
    </w:rPr>
  </w:style>
  <w:style w:type="paragraph" w:styleId="8">
    <w:name w:val="footer"/>
    <w:basedOn w:val="1"/>
    <w:link w:val="30"/>
    <w:qFormat/>
    <w:uiPriority w:val="99"/>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2"/>
    <w:basedOn w:val="6"/>
    <w:qFormat/>
    <w:uiPriority w:val="0"/>
    <w:pPr>
      <w:spacing w:after="0"/>
      <w:ind w:firstLine="420" w:firstLineChars="200"/>
    </w:pPr>
    <w:rPr>
      <w:rFonts w:ascii="Calibri" w:hAnsi="Calibri" w:eastAsia="仿宋_GB2312" w:cs="Times New Roman"/>
      <w:sz w:val="32"/>
    </w:rPr>
  </w:style>
  <w:style w:type="table" w:styleId="13">
    <w:name w:val="Table Grid"/>
    <w:basedOn w:val="12"/>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FollowedHyperlink"/>
    <w:basedOn w:val="14"/>
    <w:qFormat/>
    <w:uiPriority w:val="0"/>
    <w:rPr>
      <w:color w:val="333333"/>
      <w:u w:val="none"/>
    </w:rPr>
  </w:style>
  <w:style w:type="character" w:styleId="17">
    <w:name w:val="Emphasis"/>
    <w:basedOn w:val="14"/>
    <w:qFormat/>
    <w:uiPriority w:val="0"/>
    <w:rPr>
      <w:b/>
    </w:rPr>
  </w:style>
  <w:style w:type="character" w:styleId="18">
    <w:name w:val="HTML Definition"/>
    <w:basedOn w:val="14"/>
    <w:qFormat/>
    <w:uiPriority w:val="0"/>
  </w:style>
  <w:style w:type="character" w:styleId="19">
    <w:name w:val="HTML Typewriter"/>
    <w:basedOn w:val="14"/>
    <w:qFormat/>
    <w:uiPriority w:val="0"/>
    <w:rPr>
      <w:rFonts w:ascii="Courier New" w:hAnsi="Courier New"/>
      <w:sz w:val="20"/>
    </w:rPr>
  </w:style>
  <w:style w:type="character" w:styleId="20">
    <w:name w:val="HTML Variable"/>
    <w:basedOn w:val="14"/>
    <w:qFormat/>
    <w:uiPriority w:val="0"/>
  </w:style>
  <w:style w:type="character" w:styleId="21">
    <w:name w:val="Hyperlink"/>
    <w:basedOn w:val="14"/>
    <w:qFormat/>
    <w:uiPriority w:val="0"/>
    <w:rPr>
      <w:color w:val="333333"/>
      <w:u w:val="none"/>
    </w:rPr>
  </w:style>
  <w:style w:type="character" w:styleId="22">
    <w:name w:val="HTML Code"/>
    <w:basedOn w:val="14"/>
    <w:qFormat/>
    <w:uiPriority w:val="0"/>
    <w:rPr>
      <w:rFonts w:hint="default" w:ascii="Courier New" w:hAnsi="Courier New" w:eastAsia="Courier New" w:cs="Courier New"/>
      <w:sz w:val="20"/>
    </w:rPr>
  </w:style>
  <w:style w:type="character" w:styleId="23">
    <w:name w:val="HTML Cite"/>
    <w:basedOn w:val="14"/>
    <w:qFormat/>
    <w:uiPriority w:val="0"/>
  </w:style>
  <w:style w:type="character" w:styleId="24">
    <w:name w:val="HTML Keyboard"/>
    <w:basedOn w:val="14"/>
    <w:qFormat/>
    <w:uiPriority w:val="0"/>
    <w:rPr>
      <w:rFonts w:hint="default" w:ascii="Courier New" w:hAnsi="Courier New" w:eastAsia="Courier New" w:cs="Courier New"/>
      <w:sz w:val="20"/>
    </w:rPr>
  </w:style>
  <w:style w:type="character" w:styleId="25">
    <w:name w:val="HTML Sample"/>
    <w:basedOn w:val="14"/>
    <w:qFormat/>
    <w:uiPriority w:val="0"/>
    <w:rPr>
      <w:rFonts w:ascii="Courier New" w:hAnsi="Courier New" w:eastAsia="Courier New" w:cs="Courier New"/>
    </w:rPr>
  </w:style>
  <w:style w:type="paragraph" w:customStyle="1" w:styleId="26">
    <w:name w:val="Char"/>
    <w:basedOn w:val="1"/>
    <w:qFormat/>
    <w:uiPriority w:val="0"/>
    <w:pPr>
      <w:widowControl/>
      <w:spacing w:after="160" w:line="240" w:lineRule="exact"/>
      <w:jc w:val="left"/>
    </w:pPr>
    <w:rPr>
      <w:rFonts w:ascii="Tahoma" w:hAnsi="Tahoma" w:eastAsia="宋体" w:cs="Times New Roman"/>
      <w:sz w:val="24"/>
      <w:szCs w:val="20"/>
    </w:rPr>
  </w:style>
  <w:style w:type="paragraph" w:customStyle="1" w:styleId="27">
    <w:name w:val="正文."/>
    <w:basedOn w:val="1"/>
    <w:qFormat/>
    <w:uiPriority w:val="0"/>
    <w:pPr>
      <w:spacing w:line="360" w:lineRule="auto"/>
      <w:ind w:firstLine="200" w:firstLineChars="200"/>
    </w:pPr>
    <w:rPr>
      <w:rFonts w:ascii="Times New Roman" w:hAnsi="Times New Roman" w:eastAsia="宋体" w:cs="黑体"/>
      <w:sz w:val="28"/>
      <w:szCs w:val="28"/>
    </w:rPr>
  </w:style>
  <w:style w:type="paragraph" w:customStyle="1" w:styleId="28">
    <w:name w:val="普通(网站)1"/>
    <w:basedOn w:val="1"/>
    <w:qFormat/>
    <w:uiPriority w:val="0"/>
    <w:pPr>
      <w:jc w:val="left"/>
    </w:pPr>
    <w:rPr>
      <w:rFonts w:ascii="Times New Roman" w:hAnsi="Times New Roman" w:eastAsia="宋体" w:cs="Times New Roman"/>
      <w:kern w:val="0"/>
      <w:sz w:val="24"/>
    </w:rPr>
  </w:style>
  <w:style w:type="character" w:customStyle="1" w:styleId="29">
    <w:name w:val="current-btn"/>
    <w:basedOn w:val="14"/>
    <w:qFormat/>
    <w:uiPriority w:val="0"/>
    <w:rPr>
      <w:b/>
      <w:color w:val="FFFFFF"/>
      <w:sz w:val="15"/>
      <w:szCs w:val="15"/>
      <w:bdr w:val="single" w:color="FF7C00" w:sz="6" w:space="0"/>
      <w:shd w:val="clear" w:color="auto" w:fill="FF7C00"/>
    </w:rPr>
  </w:style>
  <w:style w:type="character" w:customStyle="1" w:styleId="30">
    <w:name w:val="页脚 Char"/>
    <w:basedOn w:val="14"/>
    <w:link w:val="8"/>
    <w:qFormat/>
    <w:uiPriority w:val="99"/>
    <w:rPr>
      <w:rFonts w:asciiTheme="minorHAnsi" w:hAnsiTheme="minorHAnsi" w:eastAsiaTheme="minorEastAsia" w:cstheme="minorBidi"/>
      <w:kern w:val="2"/>
      <w:sz w:val="18"/>
      <w:szCs w:val="24"/>
    </w:rPr>
  </w:style>
  <w:style w:type="character" w:customStyle="1" w:styleId="31">
    <w:name w:val="批注框文本 Char"/>
    <w:basedOn w:val="14"/>
    <w:link w:val="7"/>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1582</Words>
  <Characters>1604</Characters>
  <Lines>46</Lines>
  <Paragraphs>13</Paragraphs>
  <TotalTime>53</TotalTime>
  <ScaleCrop>false</ScaleCrop>
  <LinksUpToDate>false</LinksUpToDate>
  <CharactersWithSpaces>1611</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2019-06-26T21:05:00Z</dcterms:created>
  <dc:creator>听风的海贝</dc:creator>
  <cp:lastModifiedBy>kylin</cp:lastModifiedBy>
  <cp:lastPrinted>2025-01-02T14:08:00Z</cp:lastPrinted>
  <dcterms:modified xsi:type="dcterms:W3CDTF">2025-08-05T10:28:58Z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F880619470B741E48F74EE4D270F7B62</vt:lpwstr>
  </property>
</Properties>
</file>