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F94B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r>
        <w:rPr>
          <w:rFonts w:hint="eastAsia" w:ascii="方正小标宋简体" w:hAnsi="方正小标宋简体" w:eastAsia="方正小标宋简体" w:cs="方正小标宋简体"/>
          <w:b/>
          <w:bCs/>
          <w:sz w:val="44"/>
          <w:szCs w:val="44"/>
          <w:lang w:val="en-US" w:eastAsia="zh-CN"/>
        </w:rPr>
        <w:t>平罗县教育局行政执法工作总结</w:t>
      </w:r>
    </w:p>
    <w:bookmarkEnd w:id="0"/>
    <w:p w14:paraId="029FF4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（2026年1月）</w:t>
      </w:r>
    </w:p>
    <w:p w14:paraId="7935669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b/>
          <w:bCs/>
          <w:sz w:val="32"/>
          <w:szCs w:val="32"/>
          <w:lang w:val="en-US" w:eastAsia="zh-CN"/>
        </w:rPr>
      </w:pPr>
    </w:p>
    <w:p w14:paraId="38F1E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平罗县教育局坚持以法治思维引领教育治理，深入贯彻落实行政执法各项要求，聚焦校外培训机构行政执法、学校食堂监管等重点任务，持续优化教育领域营商环境，切实提升监管效能与服务温度，有力保障了全县教育事业健康有序发展。现将本年度行政执法工作总结如下。</w:t>
      </w:r>
    </w:p>
    <w:p w14:paraId="5A93C2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一、主要做法与成效</w:t>
      </w:r>
    </w:p>
    <w:p w14:paraId="05D8D1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（一）规范涉企执法，优化校外培训监管环境。</w:t>
      </w:r>
      <w:r>
        <w:rPr>
          <w:rFonts w:hint="eastAsia" w:ascii="仿宋_GB2312" w:hAnsi="仿宋_GB2312" w:eastAsia="仿宋_GB2312" w:cs="仿宋_GB2312"/>
          <w:b w:val="0"/>
          <w:bCs w:val="0"/>
          <w:sz w:val="32"/>
          <w:szCs w:val="32"/>
          <w:lang w:val="en-US" w:eastAsia="zh-CN"/>
        </w:rPr>
        <w:t>为深入贯彻落实“双减”决策部署，县教育局严格依据</w:t>
      </w:r>
      <w:r>
        <w:rPr>
          <w:rFonts w:hint="eastAsia" w:ascii="仿宋_GB2312" w:hAnsi="仿宋_GB2312" w:eastAsia="仿宋_GB2312" w:cs="仿宋_GB2312"/>
          <w:kern w:val="0"/>
          <w:sz w:val="32"/>
          <w:szCs w:val="32"/>
          <w:lang w:val="en-US" w:eastAsia="zh-CN" w:bidi="ar"/>
        </w:rPr>
        <w:t>《校外培训机构违规行为处理办法》等相关法律法规</w:t>
      </w:r>
      <w:r>
        <w:rPr>
          <w:rFonts w:hint="eastAsia" w:ascii="仿宋_GB2312" w:hAnsi="仿宋_GB2312" w:eastAsia="仿宋_GB2312" w:cs="仿宋_GB2312"/>
          <w:b w:val="0"/>
          <w:bCs w:val="0"/>
          <w:sz w:val="32"/>
          <w:szCs w:val="32"/>
          <w:lang w:val="en-US" w:eastAsia="zh-CN"/>
        </w:rPr>
        <w:t>，聚焦机构证照、教学内容、收费行为、安全管理等重点环节，扎实推进行政执法工作。截至目前，共开展执法检查5次（其中扫码入企3次），检查学科类校外培训机构6家次，发现并整改问题1个。</w:t>
      </w:r>
      <w:r>
        <w:rPr>
          <w:rFonts w:hint="eastAsia" w:ascii="仿宋_GB2312" w:hAnsi="仿宋_GB2312" w:eastAsia="仿宋_GB2312" w:cs="仿宋_GB2312"/>
          <w:b/>
          <w:bCs/>
          <w:sz w:val="32"/>
          <w:szCs w:val="32"/>
          <w:lang w:val="en-US" w:eastAsia="zh-CN"/>
        </w:rPr>
        <w:t>一是优化执法配置，推进协同监管。</w:t>
      </w:r>
      <w:r>
        <w:rPr>
          <w:rFonts w:hint="eastAsia" w:ascii="仿宋_GB2312" w:hAnsi="仿宋_GB2312" w:eastAsia="仿宋_GB2312" w:cs="仿宋_GB2312"/>
          <w:b w:val="0"/>
          <w:bCs w:val="0"/>
          <w:sz w:val="32"/>
          <w:szCs w:val="32"/>
          <w:lang w:val="en-US" w:eastAsia="zh-CN"/>
        </w:rPr>
        <w:t>指定1名持证业务骨干牵头负责学科类校外培训机构管理，其他持证人员协同配合。组织工作人员前往西夏区学习先进执法经验，并加强与市场监管、公安、消防等部门的沟通协作，初步形成监管合力。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聚焦重点环节，开展专项整治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针对暑期非学科类校外培训密集、违规组织学科类培训多发等重点问题，组织开展校外培训“监管护苗”暑期专项行动，先后出动25人次开展日常巡查30次，联合文广局等其他相关单位开展检查2次，处理群众举报线索1起，坚决遏制隐形变异学科培训及恶意涨价、安全隐患等问题。</w:t>
      </w:r>
      <w:r>
        <w:rPr>
          <w:rFonts w:hint="eastAsia" w:ascii="仿宋_GB2312" w:hAnsi="仿宋_GB2312" w:eastAsia="仿宋_GB2312" w:cs="仿宋_GB2312"/>
          <w:b/>
          <w:bCs/>
          <w:sz w:val="32"/>
          <w:szCs w:val="32"/>
          <w:lang w:eastAsia="zh-CN"/>
        </w:rPr>
        <w:t>三是加强日常监管，巩固整治成效。</w:t>
      </w:r>
      <w:r>
        <w:rPr>
          <w:rFonts w:hint="eastAsia" w:ascii="仿宋_GB2312" w:hAnsi="仿宋_GB2312" w:eastAsia="仿宋_GB2312" w:cs="仿宋_GB2312"/>
          <w:sz w:val="32"/>
          <w:szCs w:val="32"/>
          <w:lang w:eastAsia="zh-CN"/>
        </w:rPr>
        <w:t>在法定节假日、寒暑假期间组织工作人员通过暗访等形式加强日常巡查，灵活掌握培训机构培训动态。通过官方公众号发布《平罗县教育体育局暑假期间防范校外培训风险致家长的一封信》，公布全县学科类和非学科类校外培训机构“白名单”，引导家长理性选择，畅通社会监督渠道。</w:t>
      </w:r>
      <w:r>
        <w:rPr>
          <w:rFonts w:hint="eastAsia" w:ascii="仿宋_GB2312" w:hAnsi="仿宋_GB2312" w:eastAsia="仿宋_GB2312" w:cs="仿宋_GB2312"/>
          <w:b w:val="0"/>
          <w:bCs w:val="0"/>
          <w:sz w:val="32"/>
          <w:szCs w:val="32"/>
          <w:lang w:val="en-US" w:eastAsia="zh-CN"/>
        </w:rPr>
        <w:t>全年未发生无证无照、超纲教学、违规收费等突出问题，培训市场保持平稳有序。</w:t>
      </w:r>
    </w:p>
    <w:p w14:paraId="6B7BD5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（二）推行“综合查一次”，提升校园食堂监管效能。</w:t>
      </w:r>
      <w:r>
        <w:rPr>
          <w:rFonts w:hint="eastAsia" w:ascii="仿宋_GB2312" w:hAnsi="仿宋_GB2312" w:eastAsia="仿宋_GB2312" w:cs="仿宋_GB2312"/>
          <w:b w:val="0"/>
          <w:bCs w:val="0"/>
          <w:sz w:val="32"/>
          <w:szCs w:val="32"/>
          <w:lang w:val="en-US" w:eastAsia="zh-CN"/>
        </w:rPr>
        <w:t>在对校园食堂的监管中，县教育局积极探索跨部门联合监管模式，着力构建“综合监管一件事”格局，最大限度减少对学校正常秩序的干扰，2025年共完成校园餐整改问题221个，保障了师生饮食安全。</w:t>
      </w:r>
      <w:r>
        <w:rPr>
          <w:rFonts w:hint="eastAsia" w:ascii="仿宋_GB2312" w:hAnsi="仿宋_GB2312" w:eastAsia="仿宋_GB2312" w:cs="仿宋_GB2312"/>
          <w:b/>
          <w:bCs/>
          <w:sz w:val="32"/>
          <w:szCs w:val="32"/>
          <w:lang w:val="en-US" w:eastAsia="zh-CN"/>
        </w:rPr>
        <w:t>一是聚焦关键环节，实现精准管控。</w:t>
      </w:r>
      <w:r>
        <w:rPr>
          <w:rFonts w:hint="eastAsia" w:ascii="仿宋_GB2312" w:hAnsi="仿宋_GB2312" w:eastAsia="仿宋_GB2312" w:cs="仿宋_GB2312"/>
          <w:sz w:val="32"/>
          <w:szCs w:val="40"/>
        </w:rPr>
        <w:t>将监管触角延伸至从农田到餐桌的每一个环节</w:t>
      </w:r>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40"/>
        </w:rPr>
        <w:t>在食材源头，联合农业农村、发改等部门加强对配送企业的监督与食材价格监测；在食堂运营环节，</w:t>
      </w:r>
      <w:r>
        <w:rPr>
          <w:rFonts w:hint="eastAsia" w:ascii="仿宋_GB2312" w:hAnsi="仿宋_GB2312" w:eastAsia="仿宋_GB2312" w:cs="仿宋_GB2312"/>
          <w:sz w:val="32"/>
          <w:szCs w:val="40"/>
          <w:lang w:eastAsia="zh-CN"/>
        </w:rPr>
        <w:t>联合财政、市场监管等部门，</w:t>
      </w:r>
      <w:r>
        <w:rPr>
          <w:rFonts w:hint="eastAsia" w:ascii="仿宋_GB2312" w:hAnsi="仿宋_GB2312" w:eastAsia="仿宋_GB2312" w:cs="仿宋_GB2312"/>
          <w:sz w:val="32"/>
          <w:szCs w:val="40"/>
        </w:rPr>
        <w:t>重点聚焦经费管理规范性、供餐流程合规性及校长负责制落实；在加工制作末端，严控食品加工过程和营养配餐科学性。特别针对复用餐饮具清洗消毒这一风险点，开展了专项“回头看”抽检工作，对11所既往抽检不合格学校开展“回头看”专项复检，34批次抽检结果全部合格，标志着重点风险环节防控取得显著成效。</w:t>
      </w:r>
      <w:r>
        <w:rPr>
          <w:rFonts w:hint="eastAsia" w:ascii="仿宋_GB2312" w:hAnsi="仿宋_GB2312" w:eastAsia="仿宋_GB2312" w:cs="仿宋_GB2312"/>
          <w:b/>
          <w:bCs/>
          <w:sz w:val="32"/>
          <w:szCs w:val="40"/>
          <w:lang w:eastAsia="zh-CN"/>
        </w:rPr>
        <w:t>二是强化部门联动</w:t>
      </w:r>
      <w:r>
        <w:rPr>
          <w:rFonts w:hint="eastAsia" w:ascii="仿宋_GB2312" w:hAnsi="仿宋_GB2312" w:eastAsia="仿宋_GB2312" w:cs="仿宋_GB2312"/>
          <w:b/>
          <w:bCs/>
          <w:sz w:val="32"/>
          <w:szCs w:val="40"/>
        </w:rPr>
        <w:t>，形成监管闭环</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rPr>
        <w:t>由县</w:t>
      </w:r>
      <w:r>
        <w:rPr>
          <w:rFonts w:hint="eastAsia" w:ascii="仿宋_GB2312" w:hAnsi="仿宋_GB2312" w:eastAsia="仿宋_GB2312" w:cs="仿宋_GB2312"/>
          <w:sz w:val="32"/>
          <w:szCs w:val="40"/>
          <w:lang w:eastAsia="zh-CN"/>
        </w:rPr>
        <w:t>教育局</w:t>
      </w:r>
      <w:r>
        <w:rPr>
          <w:rFonts w:hint="eastAsia" w:ascii="仿宋_GB2312" w:hAnsi="仿宋_GB2312" w:eastAsia="仿宋_GB2312" w:cs="仿宋_GB2312"/>
          <w:sz w:val="32"/>
          <w:szCs w:val="40"/>
        </w:rPr>
        <w:t>牵头，联</w:t>
      </w:r>
      <w:r>
        <w:rPr>
          <w:rFonts w:hint="eastAsia" w:ascii="仿宋_GB2312" w:hAnsi="仿宋_GB2312" w:eastAsia="仿宋_GB2312" w:cs="仿宋_GB2312"/>
          <w:sz w:val="32"/>
          <w:szCs w:val="40"/>
          <w:lang w:eastAsia="zh-CN"/>
        </w:rPr>
        <w:t>合</w:t>
      </w:r>
      <w:r>
        <w:rPr>
          <w:rFonts w:hint="eastAsia" w:ascii="仿宋_GB2312" w:hAnsi="仿宋_GB2312" w:eastAsia="仿宋_GB2312" w:cs="仿宋_GB2312"/>
          <w:sz w:val="32"/>
          <w:szCs w:val="40"/>
        </w:rPr>
        <w:t>市场监管、卫健、财政、公安、住建等部门，</w:t>
      </w:r>
      <w:r>
        <w:rPr>
          <w:rFonts w:hint="eastAsia" w:ascii="仿宋_GB2312" w:hAnsi="仿宋_GB2312" w:eastAsia="仿宋_GB2312" w:cs="仿宋_GB2312"/>
          <w:sz w:val="32"/>
          <w:szCs w:val="40"/>
          <w:lang w:eastAsia="zh-CN"/>
        </w:rPr>
        <w:t>建立</w:t>
      </w:r>
      <w:r>
        <w:rPr>
          <w:rFonts w:hint="eastAsia" w:ascii="仿宋_GB2312" w:hAnsi="仿宋_GB2312" w:eastAsia="仿宋_GB2312" w:cs="仿宋_GB2312"/>
          <w:sz w:val="32"/>
          <w:szCs w:val="40"/>
        </w:rPr>
        <w:t>常态化检查与专项督查机制。</w:t>
      </w:r>
      <w:r>
        <w:rPr>
          <w:rFonts w:hint="eastAsia" w:ascii="仿宋_GB2312" w:hAnsi="仿宋_GB2312" w:eastAsia="仿宋_GB2312" w:cs="仿宋_GB2312"/>
          <w:b w:val="0"/>
          <w:bCs w:val="0"/>
          <w:sz w:val="32"/>
          <w:szCs w:val="32"/>
          <w:lang w:val="en-US" w:eastAsia="zh-CN"/>
        </w:rPr>
        <w:t>年内开展联合检查5次，召开专题会议5次，检查覆盖全县43所中小学、幼儿园及3家配送企业，累计排查整改食品安全问题40项，处理问题线索2条，约谈校领导30人，形成了齐抓共管的高压态势。</w:t>
      </w:r>
      <w:r>
        <w:rPr>
          <w:rFonts w:hint="eastAsia" w:ascii="仿宋_GB2312" w:hAnsi="仿宋_GB2312" w:eastAsia="仿宋_GB2312" w:cs="仿宋_GB2312"/>
          <w:b/>
          <w:bCs/>
          <w:sz w:val="32"/>
          <w:szCs w:val="32"/>
          <w:lang w:val="en-US" w:eastAsia="zh-CN"/>
        </w:rPr>
        <w:t>三是构建共治格局，提升监管合力。</w:t>
      </w:r>
      <w:r>
        <w:rPr>
          <w:rFonts w:hint="eastAsia" w:ascii="仿宋_GB2312" w:hAnsi="仿宋_GB2312" w:eastAsia="仿宋_GB2312" w:cs="仿宋_GB2312"/>
          <w:b w:val="0"/>
          <w:bCs w:val="0"/>
          <w:sz w:val="32"/>
          <w:szCs w:val="32"/>
          <w:lang w:val="en-US" w:eastAsia="zh-CN"/>
        </w:rPr>
        <w:t>通过畅通投诉渠道、推动全县中小学幼儿园成立膳食监督家长委员会，形成家校协同监督机制。联合多部门开展校园周边食品安全整治，全年检查食品经营单位229家次，</w:t>
      </w:r>
      <w:r>
        <w:rPr>
          <w:rFonts w:hint="eastAsia" w:ascii="仿宋_GB2312" w:hAnsi="仿宋_GB2312" w:eastAsia="仿宋_GB2312" w:cs="仿宋_GB2312"/>
          <w:sz w:val="32"/>
          <w:szCs w:val="40"/>
        </w:rPr>
        <w:t>抽检2家次火锅店肉2批次</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b w:val="0"/>
          <w:bCs w:val="0"/>
          <w:sz w:val="32"/>
          <w:szCs w:val="32"/>
          <w:lang w:val="en-US" w:eastAsia="zh-CN"/>
        </w:rPr>
        <w:t>整改问题293个，</w:t>
      </w:r>
      <w:r>
        <w:rPr>
          <w:rFonts w:hint="eastAsia" w:ascii="仿宋_GB2312" w:hAnsi="仿宋_GB2312" w:eastAsia="仿宋_GB2312" w:cs="仿宋_GB2312"/>
          <w:sz w:val="32"/>
          <w:szCs w:val="40"/>
        </w:rPr>
        <w:t>下发责令改正通知书26份、当场处罚决定书18份</w:t>
      </w:r>
      <w:r>
        <w:rPr>
          <w:rFonts w:hint="eastAsia" w:ascii="仿宋_GB2312" w:hAnsi="仿宋_GB2312" w:eastAsia="仿宋_GB2312" w:cs="仿宋_GB2312"/>
          <w:b w:val="0"/>
          <w:bCs w:val="0"/>
          <w:sz w:val="32"/>
          <w:szCs w:val="32"/>
          <w:lang w:val="en-US" w:eastAsia="zh-CN"/>
        </w:rPr>
        <w:t>，有效构筑了社会共治防线。</w:t>
      </w:r>
    </w:p>
    <w:p w14:paraId="28FBB9D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sz w:val="32"/>
          <w:szCs w:val="32"/>
          <w:lang w:val="en-US" w:eastAsia="zh-CN"/>
        </w:rPr>
        <w:t>（三）落实包容审慎监管，优化教师资格认定服务。</w:t>
      </w:r>
      <w:r>
        <w:rPr>
          <w:rFonts w:hint="eastAsia" w:ascii="仿宋_GB2312" w:hAnsi="仿宋_GB2312" w:eastAsia="仿宋_GB2312" w:cs="仿宋_GB2312"/>
          <w:b w:val="0"/>
          <w:bCs w:val="0"/>
          <w:sz w:val="32"/>
          <w:szCs w:val="32"/>
          <w:lang w:val="en-US" w:eastAsia="zh-CN"/>
        </w:rPr>
        <w:t>在行政许可与监管中，县教育局秉持包容审慎理念，兼顾规范管理与服务便利。</w:t>
      </w:r>
      <w:r>
        <w:rPr>
          <w:rFonts w:hint="eastAsia" w:ascii="仿宋_GB2312" w:hAnsi="仿宋_GB2312" w:eastAsia="仿宋_GB2312" w:cs="仿宋_GB2312"/>
          <w:b/>
          <w:bCs/>
          <w:sz w:val="32"/>
          <w:szCs w:val="32"/>
          <w:lang w:val="en-US" w:eastAsia="zh-CN"/>
        </w:rPr>
        <w:t>一是高效规范实施行政许可。</w:t>
      </w:r>
      <w:r>
        <w:rPr>
          <w:rFonts w:hint="eastAsia" w:ascii="仿宋_GB2312" w:hAnsi="仿宋_GB2312" w:eastAsia="仿宋_GB2312" w:cs="仿宋_GB2312"/>
          <w:b w:val="0"/>
          <w:bCs w:val="0"/>
          <w:sz w:val="32"/>
          <w:szCs w:val="32"/>
          <w:lang w:val="en-US" w:eastAsia="zh-CN"/>
        </w:rPr>
        <w:t>2025年，依法依规完成教师资格认定行政许可217人，其中认定初级中学教师资格36人、小学115教师资格人、幼儿园教师资格66人，保障了教师队伍源头质量。</w:t>
      </w:r>
      <w:r>
        <w:rPr>
          <w:rFonts w:hint="eastAsia" w:ascii="仿宋_GB2312" w:hAnsi="仿宋_GB2312" w:eastAsia="仿宋_GB2312" w:cs="仿宋_GB2312"/>
          <w:b/>
          <w:bCs/>
          <w:sz w:val="32"/>
          <w:szCs w:val="32"/>
          <w:lang w:val="en-US" w:eastAsia="zh-CN"/>
        </w:rPr>
        <w:t>二是包容审慎稳妥实施处罚。</w:t>
      </w:r>
      <w:r>
        <w:rPr>
          <w:rFonts w:hint="eastAsia" w:ascii="仿宋_GB2312" w:hAnsi="仿宋_GB2312" w:eastAsia="仿宋_GB2312" w:cs="仿宋_GB2312"/>
          <w:b w:val="0"/>
          <w:bCs w:val="0"/>
          <w:sz w:val="32"/>
          <w:szCs w:val="32"/>
          <w:lang w:val="en-US" w:eastAsia="zh-CN"/>
        </w:rPr>
        <w:t>坚持过罚相当原则，对严重违背师德师风、依法应予严惩的行为，审慎作出行政处罚。年内依法撤销教师资格1人，维护了教师队伍纯洁性和教师资格制度的严肃性。</w:t>
      </w:r>
      <w:r>
        <w:rPr>
          <w:rFonts w:hint="eastAsia" w:ascii="仿宋_GB2312" w:hAnsi="仿宋_GB2312" w:eastAsia="仿宋_GB2312" w:cs="仿宋_GB2312"/>
          <w:b/>
          <w:bCs/>
          <w:sz w:val="32"/>
          <w:szCs w:val="32"/>
          <w:lang w:val="en-US" w:eastAsia="zh-CN"/>
        </w:rPr>
        <w:t>三是推行柔性执法与服务。</w:t>
      </w:r>
      <w:r>
        <w:rPr>
          <w:rFonts w:hint="eastAsia" w:ascii="仿宋_GB2312" w:hAnsi="仿宋_GB2312" w:eastAsia="仿宋_GB2312" w:cs="仿宋_GB2312"/>
          <w:b w:val="0"/>
          <w:bCs w:val="0"/>
          <w:sz w:val="32"/>
          <w:szCs w:val="32"/>
          <w:lang w:val="en-US" w:eastAsia="zh-CN"/>
        </w:rPr>
        <w:t>在执法与认定过程中，对非主观故意、情节轻微、未造成危害后果的瑕疵行为，优先采取指导、约谈、责令改正等方式；对行政许可申请材料非原则性瑕疵，探索容缺受理，体现执法温度与服务便捷。</w:t>
      </w:r>
    </w:p>
    <w:p w14:paraId="1B9BFF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二、存在的问题</w:t>
      </w:r>
    </w:p>
    <w:p w14:paraId="4E4935F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一是执法监管力量有待加强，</w:t>
      </w:r>
      <w:r>
        <w:rPr>
          <w:rFonts w:hint="eastAsia" w:ascii="仿宋_GB2312" w:hAnsi="仿宋_GB2312" w:eastAsia="仿宋_GB2312" w:cs="仿宋_GB2312"/>
          <w:b w:val="0"/>
          <w:bCs w:val="0"/>
          <w:sz w:val="32"/>
          <w:szCs w:val="32"/>
          <w:lang w:val="en-US" w:eastAsia="zh-CN"/>
        </w:rPr>
        <w:t>随着“双减”深化，校外培训执法任务加重，但专职执法人员数量不足，专业能力有待提升。</w:t>
      </w:r>
      <w:r>
        <w:rPr>
          <w:rFonts w:hint="eastAsia" w:ascii="仿宋_GB2312" w:hAnsi="仿宋_GB2312" w:eastAsia="仿宋_GB2312" w:cs="仿宋_GB2312"/>
          <w:b/>
          <w:bCs/>
          <w:sz w:val="32"/>
          <w:szCs w:val="32"/>
          <w:lang w:val="en-US" w:eastAsia="zh-CN"/>
        </w:rPr>
        <w:t>二是跨部门协同机制需深化，</w:t>
      </w:r>
      <w:r>
        <w:rPr>
          <w:rFonts w:hint="eastAsia" w:ascii="仿宋_GB2312" w:hAnsi="仿宋_GB2312" w:eastAsia="仿宋_GB2312" w:cs="仿宋_GB2312"/>
          <w:b w:val="0"/>
          <w:bCs w:val="0"/>
          <w:sz w:val="32"/>
          <w:szCs w:val="32"/>
          <w:lang w:val="en-US" w:eastAsia="zh-CN"/>
        </w:rPr>
        <w:t>“综合查一次”及联合监管中，部门间信息共享、协调联动、结果互认的效率和深度仍有提升空间，存在一定的监管盲区或重复检查可能。</w:t>
      </w:r>
      <w:r>
        <w:rPr>
          <w:rFonts w:hint="eastAsia" w:ascii="仿宋_GB2312" w:hAnsi="仿宋_GB2312" w:eastAsia="仿宋_GB2312" w:cs="仿宋_GB2312"/>
          <w:b/>
          <w:bCs/>
          <w:sz w:val="32"/>
          <w:szCs w:val="32"/>
          <w:lang w:val="en-US" w:eastAsia="zh-CN"/>
        </w:rPr>
        <w:t>三是包容审慎尺度需细化，</w:t>
      </w:r>
      <w:r>
        <w:rPr>
          <w:rFonts w:hint="eastAsia" w:ascii="仿宋_GB2312" w:hAnsi="仿宋_GB2312" w:eastAsia="仿宋_GB2312" w:cs="仿宋_GB2312"/>
          <w:b w:val="0"/>
          <w:bCs w:val="0"/>
          <w:sz w:val="32"/>
          <w:szCs w:val="32"/>
          <w:lang w:val="en-US" w:eastAsia="zh-CN"/>
        </w:rPr>
        <w:t>对部分新兴问题或轻微违规行为的认定标准、处理裁量尺度，需在实践中进一步细化和统一，以提升执法的精准性和可预期性。</w:t>
      </w:r>
    </w:p>
    <w:p w14:paraId="673AC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黑体" w:hAnsi="黑体" w:eastAsia="黑体" w:cs="黑体"/>
          <w:b w:val="0"/>
          <w:bCs w:val="0"/>
          <w:sz w:val="32"/>
          <w:szCs w:val="32"/>
          <w:lang w:val="en-US" w:eastAsia="zh-CN"/>
        </w:rPr>
        <w:t>三、下一步工作计划</w:t>
      </w:r>
    </w:p>
    <w:p w14:paraId="3D80A3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仿宋_GB2312" w:hAnsi="仿宋_GB2312" w:eastAsia="仿宋_GB2312" w:cs="仿宋_GB2312"/>
          <w:b/>
          <w:bCs/>
          <w:sz w:val="32"/>
          <w:szCs w:val="32"/>
          <w:lang w:val="en-US" w:eastAsia="zh-CN"/>
        </w:rPr>
        <w:t>一是强化队伍建设，提升专业能力。</w:t>
      </w:r>
      <w:r>
        <w:rPr>
          <w:rFonts w:hint="eastAsia" w:ascii="仿宋_GB2312" w:hAnsi="仿宋_GB2312" w:eastAsia="仿宋_GB2312" w:cs="仿宋_GB2312"/>
          <w:b w:val="0"/>
          <w:bCs w:val="0"/>
          <w:sz w:val="32"/>
          <w:szCs w:val="32"/>
          <w:lang w:val="en-US" w:eastAsia="zh-CN"/>
        </w:rPr>
        <w:t>积极组织符合条件的工作人员考取执法资格，加大现有执法人员培训力度，通过案例研讨、专家讲座、跨部门联训等方式，全面提升执法人员法律素养和执法实战能力。</w:t>
      </w:r>
      <w:r>
        <w:rPr>
          <w:rFonts w:hint="eastAsia" w:ascii="仿宋_GB2312" w:hAnsi="仿宋_GB2312" w:eastAsia="仿宋_GB2312" w:cs="仿宋_GB2312"/>
          <w:b/>
          <w:bCs/>
          <w:sz w:val="32"/>
          <w:szCs w:val="32"/>
          <w:lang w:val="en-US" w:eastAsia="zh-CN"/>
        </w:rPr>
        <w:t>二是深化协同共治，完善监管体系。</w:t>
      </w:r>
      <w:r>
        <w:rPr>
          <w:rFonts w:hint="eastAsia" w:ascii="仿宋_GB2312" w:hAnsi="仿宋_GB2312" w:eastAsia="仿宋_GB2312" w:cs="仿宋_GB2312"/>
          <w:b w:val="0"/>
          <w:bCs w:val="0"/>
          <w:sz w:val="32"/>
          <w:szCs w:val="32"/>
          <w:lang w:val="en-US" w:eastAsia="zh-CN"/>
        </w:rPr>
        <w:t>严格落实《自治区校外培训机构“综合监管一件事”实施细则(试行)》、《自治区校园食品安全“综合监管一件事”实施细则（试行）》等相关文件，进一步健全多部门常态化联合执法、信息共享、案件移送机制。通过定期专项督查与“双随机”抽查结合，提升跨部门问题发现与协同处置效率。</w:t>
      </w:r>
      <w:r>
        <w:rPr>
          <w:rFonts w:hint="eastAsia" w:ascii="仿宋_GB2312" w:hAnsi="仿宋_GB2312" w:eastAsia="仿宋_GB2312" w:cs="仿宋_GB2312"/>
          <w:b/>
          <w:bCs/>
          <w:sz w:val="32"/>
          <w:szCs w:val="32"/>
          <w:lang w:val="en-US" w:eastAsia="zh-CN"/>
        </w:rPr>
        <w:t>三是细化标准指引，精准把握尺度。</w:t>
      </w:r>
      <w:r>
        <w:rPr>
          <w:rFonts w:hint="eastAsia" w:ascii="仿宋_GB2312" w:hAnsi="仿宋_GB2312" w:eastAsia="仿宋_GB2312" w:cs="仿宋_GB2312"/>
          <w:b w:val="0"/>
          <w:bCs w:val="0"/>
          <w:sz w:val="32"/>
          <w:szCs w:val="32"/>
          <w:lang w:val="en-US" w:eastAsia="zh-CN"/>
        </w:rPr>
        <w:t>结合执法实践，研究细化教育领域特别是校外培训和校园食品安全方面包容审慎监管的适用情形和裁量基准，制定更明晰的操作指引，统一执法尺度，增强工作规范性。</w:t>
      </w:r>
    </w:p>
    <w:sectPr>
      <w:footerReference r:id="rId3" w:type="default"/>
      <w:pgSz w:w="11906" w:h="16838"/>
      <w:pgMar w:top="1531"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8B458-035C-4093-81A2-076EA121F1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DD55A7C4-F140-4437-B6DE-5E83B983A637}"/>
  </w:font>
  <w:font w:name="楷体_GB2312">
    <w:altName w:val="楷体"/>
    <w:panose1 w:val="02010609030101010101"/>
    <w:charset w:val="86"/>
    <w:family w:val="auto"/>
    <w:pitch w:val="default"/>
    <w:sig w:usb0="00000000" w:usb1="00000000" w:usb2="00000000" w:usb3="00000000" w:csb0="00040000" w:csb1="00000000"/>
    <w:embedRegular r:id="rId3" w:fontKey="{F261E2FC-4024-4446-A335-3EC78CAEB266}"/>
  </w:font>
  <w:font w:name="仿宋_GB2312">
    <w:panose1 w:val="02010609030101010101"/>
    <w:charset w:val="86"/>
    <w:family w:val="auto"/>
    <w:pitch w:val="default"/>
    <w:sig w:usb0="00000001" w:usb1="080E0000" w:usb2="00000000" w:usb3="00000000" w:csb0="00040000" w:csb1="00000000"/>
    <w:embedRegular r:id="rId4" w:fontKey="{530B103D-413A-44A0-9B4C-AB6768C2E0F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F2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C49E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CC49E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C2B0C"/>
    <w:rsid w:val="080824C9"/>
    <w:rsid w:val="13E8755A"/>
    <w:rsid w:val="40897066"/>
    <w:rsid w:val="45815C6A"/>
    <w:rsid w:val="51705511"/>
    <w:rsid w:val="54C401BA"/>
    <w:rsid w:val="5AEE56F8"/>
    <w:rsid w:val="782A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rPr>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2236</Words>
  <Characters>2269</Characters>
  <Lines>0</Lines>
  <Paragraphs>0</Paragraphs>
  <TotalTime>48</TotalTime>
  <ScaleCrop>false</ScaleCrop>
  <LinksUpToDate>false</LinksUpToDate>
  <CharactersWithSpaces>2269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2026-01-07T00:43:00Z</dcterms:created>
  <dc:creator>Administrator</dc:creator>
  <cp:lastModifiedBy>陈瑶</cp:lastModifiedBy>
  <cp:lastPrinted>2026-01-07T02:38:00Z</cp:lastPrinted>
  <dcterms:modified xsi:type="dcterms:W3CDTF">2026-01-27T08:44:49Z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eyJoZGlkIjoiNTUzY2RiZDA4OGNhODY2ODE3MmRkNWE0ZGY3OWQxNDYiLCJ1c2VySWQiOiIxMTQ0NTU1MzA1In0=</vt:lpwstr>
  </property>
  <property fmtid="{D5CDD505-2E9C-101B-9397-08002B2CF9AE}" pid="4" name="ICV">
    <vt:lpwstr>BC59570B39FD4DC58103BD02DF3902C8_13</vt:lpwstr>
  </property>
</Properties>
</file>