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snapToGrid/>
        <w:spacing w:line="560" w:lineRule="exact"/>
        <w:ind w:right="0" w:rightChars="0"/>
        <w:textAlignment w:val="auto"/>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color w:val="000000"/>
          <w:kern w:val="0"/>
          <w:sz w:val="32"/>
          <w:szCs w:val="32"/>
          <w:lang w:val="en-US" w:eastAsia="zh-CN"/>
        </w:rPr>
        <w:t>附件：</w:t>
      </w:r>
    </w:p>
    <w:p>
      <w:pPr>
        <w:pStyle w:val="4"/>
        <w:keepNext/>
        <w:keepLines/>
        <w:pageBreakBefore w:val="0"/>
        <w:widowControl w:val="0"/>
        <w:kinsoku/>
        <w:wordWrap/>
        <w:overflowPunct/>
        <w:topLinePunct w:val="0"/>
        <w:autoSpaceDE/>
        <w:autoSpaceDN/>
        <w:bidi w:val="0"/>
        <w:adjustRightInd/>
        <w:snapToGrid/>
        <w:spacing w:before="340" w:beforeLines="0" w:after="330" w:afterLines="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val="0"/>
          <w:bCs w:val="0"/>
          <w:color w:val="000000"/>
          <w:sz w:val="44"/>
          <w:szCs w:val="44"/>
          <w:lang w:val="en-US" w:eastAsia="zh-CN"/>
        </w:rPr>
      </w:pPr>
      <w:bookmarkStart w:id="0" w:name="_GoBack"/>
      <w:r>
        <w:rPr>
          <w:rFonts w:hint="eastAsia" w:ascii="方正小标宋_GBK" w:hAnsi="方正小标宋_GBK" w:eastAsia="方正小标宋_GBK" w:cs="方正小标宋_GBK"/>
          <w:b w:val="0"/>
          <w:bCs w:val="0"/>
          <w:color w:val="000000"/>
          <w:sz w:val="44"/>
          <w:szCs w:val="44"/>
          <w:lang w:val="en-US" w:eastAsia="zh-CN"/>
        </w:rPr>
        <w:t>陶乐镇重大动物疫病防控应急预案</w:t>
      </w:r>
      <w:bookmarkEnd w:id="0"/>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color w:val="000000"/>
          <w:kern w:val="0"/>
          <w:sz w:val="32"/>
          <w:szCs w:val="32"/>
          <w:lang w:val="en-US" w:eastAsia="zh-CN"/>
        </w:rPr>
        <w:t>为确保在发生禽流感、口蹄疫等重大动物疫病时能够做到及时、准确、迅速、高效、有序地进行应急处理，保障人民群众身体健康和我镇畜牧业的稳定发展，维护社会安定，根据《中华人民共和国动物防疫法》、《重大动物疫情应急条例》及有关法律、法规制定本预案。在陶乐镇境内发生重大动物疫病时，启动本预案。镇人民政府所属相关部门应按照本预案规定，做好重大动物疫病所需经费、物资、技术等储备工作；按年度纳入陶乐镇财政预算；重大动物疫病发生后，各村、相关站所要动员社会各方面力量，按照应急预案的规定，遵循“早、快、严”的原则，立即采取预防、控制等措施，尽快控制和扑灭疫情。</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成立防控指挥部</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color w:val="000000"/>
          <w:kern w:val="0"/>
          <w:sz w:val="32"/>
          <w:szCs w:val="32"/>
          <w:lang w:val="en-US" w:eastAsia="zh-CN"/>
        </w:rPr>
        <w:t>为了及时处置疫情，成立陶乐镇重大动物疫情应急指挥部：</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b/>
          <w:bCs/>
          <w:color w:val="000000"/>
          <w:kern w:val="0"/>
          <w:sz w:val="32"/>
          <w:szCs w:val="32"/>
          <w:lang w:val="en-US" w:eastAsia="zh-CN"/>
        </w:rPr>
        <w:t>组  长</w:t>
      </w:r>
      <w:r>
        <w:rPr>
          <w:rFonts w:hint="eastAsia" w:ascii="仿宋_GB2312" w:hAnsi="Arial" w:eastAsia="仿宋_GB2312" w:cs="Arial"/>
          <w:color w:val="000000"/>
          <w:kern w:val="0"/>
          <w:sz w:val="32"/>
          <w:szCs w:val="32"/>
          <w:lang w:val="en-US" w:eastAsia="zh-CN"/>
        </w:rPr>
        <w:t>：杜  涛    陶乐镇人民政府镇长</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_GB2312" w:hAnsi="Arial" w:eastAsia="仿宋_GB2312" w:cs="Arial"/>
          <w:color w:val="000000"/>
          <w:kern w:val="0"/>
          <w:sz w:val="32"/>
          <w:szCs w:val="32"/>
          <w:lang w:val="en-US" w:eastAsia="zh-CN"/>
        </w:rPr>
      </w:pPr>
      <w:r>
        <w:rPr>
          <w:rFonts w:hint="eastAsia" w:ascii="仿宋_GB2312" w:hAnsi="Arial" w:eastAsia="仿宋_GB2312" w:cs="Arial"/>
          <w:b/>
          <w:bCs/>
          <w:color w:val="000000"/>
          <w:kern w:val="0"/>
          <w:sz w:val="32"/>
          <w:szCs w:val="32"/>
          <w:lang w:val="en-US" w:eastAsia="zh-CN"/>
        </w:rPr>
        <w:t>副组长</w:t>
      </w:r>
      <w:r>
        <w:rPr>
          <w:rFonts w:hint="eastAsia" w:ascii="仿宋_GB2312" w:hAnsi="Arial" w:eastAsia="仿宋_GB2312" w:cs="Arial"/>
          <w:color w:val="000000"/>
          <w:kern w:val="0"/>
          <w:sz w:val="32"/>
          <w:szCs w:val="32"/>
          <w:lang w:val="en-US" w:eastAsia="zh-CN"/>
        </w:rPr>
        <w:t>：丁光山    陶乐镇武装部部长</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b/>
          <w:bCs/>
          <w:color w:val="000000"/>
          <w:kern w:val="0"/>
          <w:sz w:val="32"/>
          <w:szCs w:val="32"/>
          <w:lang w:val="en-US" w:eastAsia="zh-CN"/>
        </w:rPr>
        <w:t>成  员</w:t>
      </w:r>
      <w:r>
        <w:rPr>
          <w:rFonts w:hint="eastAsia" w:ascii="仿宋_GB2312" w:hAnsi="Arial" w:eastAsia="仿宋_GB2312" w:cs="Arial"/>
          <w:color w:val="000000"/>
          <w:kern w:val="0"/>
          <w:sz w:val="32"/>
          <w:szCs w:val="32"/>
          <w:lang w:val="en-US" w:eastAsia="zh-CN"/>
        </w:rPr>
        <w:t>：领导班子各成员，各村居书记、站所长</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color w:val="000000"/>
          <w:kern w:val="0"/>
          <w:sz w:val="32"/>
          <w:szCs w:val="32"/>
          <w:lang w:val="en-US" w:eastAsia="zh-CN"/>
        </w:rPr>
        <w:t>陈生龙兼任防控指挥部办公室主任，协调相关工作。</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二、重大动物疫情应急指挥部和站所、村队职责</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lang w:val="en-US" w:eastAsia="zh-CN"/>
        </w:rPr>
      </w:pPr>
      <w:r>
        <w:rPr>
          <w:rFonts w:hint="eastAsia" w:ascii="楷体" w:hAnsi="楷体" w:eastAsia="楷体" w:cs="楷体"/>
          <w:b/>
          <w:bCs/>
          <w:color w:val="000000"/>
          <w:kern w:val="0"/>
          <w:sz w:val="32"/>
          <w:szCs w:val="32"/>
          <w:lang w:val="en-US" w:eastAsia="zh-CN"/>
        </w:rPr>
        <w:t xml:space="preserve">（一）指挥部职责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color w:val="000000"/>
          <w:kern w:val="0"/>
          <w:sz w:val="32"/>
          <w:szCs w:val="32"/>
          <w:lang w:val="en-US" w:eastAsia="zh-CN"/>
        </w:rPr>
        <w:t>指挥部全面负责全镇重大动物疫病预防和控制扑灭工作并决策有关重大事宜，并建立疫情应急预备队。办公室为指挥部办事机构，负责指挥部的日常工作，按照指挥部决策，统一指挥紧急疫情的控制工作，收集分析疫情及发展态势，及时提出启动、终止以及有关本预案的建议；组织、协调有关部门与村队落实本预案，并监督实施。</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color w:val="000000"/>
          <w:kern w:val="0"/>
          <w:sz w:val="32"/>
          <w:szCs w:val="32"/>
          <w:lang w:val="en-US" w:eastAsia="zh-CN"/>
        </w:rPr>
      </w:pPr>
      <w:r>
        <w:rPr>
          <w:rFonts w:hint="eastAsia" w:ascii="楷体" w:hAnsi="楷体" w:eastAsia="楷体" w:cs="楷体"/>
          <w:b/>
          <w:bCs/>
          <w:color w:val="000000"/>
          <w:kern w:val="0"/>
          <w:sz w:val="32"/>
          <w:szCs w:val="32"/>
          <w:lang w:val="en-US" w:eastAsia="zh-CN"/>
        </w:rPr>
        <w:t>（二）站所职责</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b/>
          <w:bCs/>
          <w:color w:val="000000"/>
          <w:kern w:val="0"/>
          <w:sz w:val="32"/>
          <w:szCs w:val="32"/>
          <w:lang w:val="en-US" w:eastAsia="zh-CN"/>
        </w:rPr>
        <w:t>1.畜牧站：</w:t>
      </w:r>
      <w:r>
        <w:rPr>
          <w:rFonts w:hint="eastAsia" w:ascii="仿宋_GB2312" w:hAnsi="Arial" w:eastAsia="仿宋_GB2312" w:cs="Arial"/>
          <w:color w:val="000000"/>
          <w:kern w:val="0"/>
          <w:sz w:val="32"/>
          <w:szCs w:val="32"/>
          <w:lang w:val="en-US" w:eastAsia="zh-CN"/>
        </w:rPr>
        <w:t>组织动物防疫有关人员开展疫情控制工作；做好疫情的监测、预报，开展流行病学调查，迅速对疫情作出全面评估；诊断疫病，提出划定疫点、疫区、受威胁区及封锁建议，并参加组织实施；监督、指导村队对疫点、疫区内病死畜禽进行扑杀、焚烧深埋，并对污染物进行无害化处理；指导村队开展紧急免疫接种和对污染场所实施消毒；按照农业部动物疫情报告制度的要求，及时、准确的报告疫情，并根据权限向相邻辖区的防治重大动物疫病指挥部通报本辖区的疫情情况；对疫区、受威胁区内易感动物及其产品生产、贮藏、运输、销售等活动进行监督管理；建立紧急防疫物资储备库，储备疫苗、药品、诊断试剂、器械、防护用品、交通及通迅工具等；评估疫情处理及补贴所需资金，安排资金使用计划；调动疫情应急预备队；组织对疫点、疫区及周围群众的宣传工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b/>
          <w:bCs/>
          <w:color w:val="000000"/>
          <w:kern w:val="0"/>
          <w:sz w:val="32"/>
          <w:szCs w:val="32"/>
          <w:lang w:val="en-US" w:eastAsia="zh-CN"/>
        </w:rPr>
        <w:t>2.林业站：</w:t>
      </w:r>
      <w:r>
        <w:rPr>
          <w:rFonts w:hint="eastAsia" w:ascii="仿宋_GB2312" w:hAnsi="Arial" w:eastAsia="仿宋_GB2312" w:cs="Arial"/>
          <w:color w:val="000000"/>
          <w:kern w:val="0"/>
          <w:sz w:val="32"/>
          <w:szCs w:val="32"/>
          <w:lang w:val="en-US" w:eastAsia="zh-CN"/>
        </w:rPr>
        <w:t>负责全镇境内水域、湖泊、湿地等野生鸟类迁徙地的疫情监测、封锁和消毒工作，定期向指挥部报告相关情况。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b/>
          <w:bCs/>
          <w:color w:val="000000"/>
          <w:kern w:val="0"/>
          <w:sz w:val="32"/>
          <w:szCs w:val="32"/>
          <w:lang w:val="en-US" w:eastAsia="zh-CN"/>
        </w:rPr>
        <w:t>3.财经所</w:t>
      </w:r>
      <w:r>
        <w:rPr>
          <w:rFonts w:hint="eastAsia" w:ascii="仿宋_GB2312" w:hAnsi="Arial" w:eastAsia="仿宋_GB2312" w:cs="Arial"/>
          <w:color w:val="000000"/>
          <w:kern w:val="0"/>
          <w:sz w:val="32"/>
          <w:szCs w:val="32"/>
          <w:lang w:val="en-US" w:eastAsia="zh-CN"/>
        </w:rPr>
        <w:t>：负责安排紧急防疫储备金和紧急防疫物资储备所需足够资金，加强防治经费的管理和监督。</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b/>
          <w:bCs/>
          <w:color w:val="000000"/>
          <w:kern w:val="0"/>
          <w:sz w:val="32"/>
          <w:szCs w:val="32"/>
          <w:lang w:val="en-US" w:eastAsia="zh-CN"/>
        </w:rPr>
        <w:t>4.民生中心：</w:t>
      </w:r>
      <w:r>
        <w:rPr>
          <w:rFonts w:hint="eastAsia" w:ascii="仿宋_GB2312" w:hAnsi="Arial" w:eastAsia="仿宋_GB2312" w:cs="Arial"/>
          <w:color w:val="000000"/>
          <w:kern w:val="0"/>
          <w:sz w:val="32"/>
          <w:szCs w:val="32"/>
          <w:lang w:val="en-US" w:eastAsia="zh-CN"/>
        </w:rPr>
        <w:t>负责疫区受灾群众的安抚和救济工作。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b/>
          <w:bCs/>
          <w:color w:val="000000"/>
          <w:kern w:val="0"/>
          <w:sz w:val="32"/>
          <w:szCs w:val="32"/>
          <w:lang w:val="en-US" w:eastAsia="zh-CN"/>
        </w:rPr>
        <w:t>5.派出所：</w:t>
      </w:r>
      <w:r>
        <w:rPr>
          <w:rFonts w:hint="eastAsia" w:ascii="仿宋_GB2312" w:hAnsi="Arial" w:eastAsia="仿宋_GB2312" w:cs="Arial"/>
          <w:color w:val="000000"/>
          <w:kern w:val="0"/>
          <w:sz w:val="32"/>
          <w:szCs w:val="32"/>
          <w:lang w:val="en-US" w:eastAsia="zh-CN"/>
        </w:rPr>
        <w:t>抽调人员做好疫区人、车封锁和强制扑杀工作，协助疫源调查，依法查处阻碍动物防疫和防疫监督人员履行公务的行为，做好疫区社会治安和安全保卫工作。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b/>
          <w:bCs/>
          <w:color w:val="000000"/>
          <w:kern w:val="0"/>
          <w:sz w:val="32"/>
          <w:szCs w:val="32"/>
          <w:lang w:val="en-US" w:eastAsia="zh-CN"/>
        </w:rPr>
        <w:t>6.卫生院：</w:t>
      </w:r>
      <w:r>
        <w:rPr>
          <w:rFonts w:hint="eastAsia" w:ascii="仿宋_GB2312" w:hAnsi="Arial" w:eastAsia="仿宋_GB2312" w:cs="Arial"/>
          <w:color w:val="000000"/>
          <w:kern w:val="0"/>
          <w:sz w:val="32"/>
          <w:szCs w:val="32"/>
          <w:lang w:val="en-US" w:eastAsia="zh-CN"/>
        </w:rPr>
        <w:t>发生重大动物疫情时，负责疫区人员的疫情监测和预防工作。做好人员收治病房、药品等准备工作。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b/>
          <w:bCs/>
          <w:color w:val="000000"/>
          <w:kern w:val="0"/>
          <w:sz w:val="32"/>
          <w:szCs w:val="32"/>
          <w:lang w:val="en-US" w:eastAsia="zh-CN"/>
        </w:rPr>
        <w:t>7.文化站：</w:t>
      </w:r>
      <w:r>
        <w:rPr>
          <w:rFonts w:hint="eastAsia" w:ascii="仿宋_GB2312" w:hAnsi="Arial" w:eastAsia="仿宋_GB2312" w:cs="Arial"/>
          <w:color w:val="000000"/>
          <w:kern w:val="0"/>
          <w:sz w:val="32"/>
          <w:szCs w:val="32"/>
          <w:lang w:val="en-US" w:eastAsia="zh-CN"/>
        </w:rPr>
        <w:t>按照有关规定做好动物防疫工作的宣传报导。</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b/>
          <w:bCs/>
          <w:color w:val="000000"/>
          <w:kern w:val="0"/>
          <w:sz w:val="32"/>
          <w:szCs w:val="32"/>
          <w:lang w:val="en-US" w:eastAsia="zh-CN"/>
        </w:rPr>
        <w:t>8.公共事业站：</w:t>
      </w:r>
      <w:r>
        <w:rPr>
          <w:rFonts w:hint="eastAsia" w:ascii="仿宋_GB2312" w:hAnsi="Arial" w:eastAsia="仿宋_GB2312" w:cs="Arial"/>
          <w:color w:val="000000"/>
          <w:kern w:val="0"/>
          <w:sz w:val="32"/>
          <w:szCs w:val="32"/>
          <w:lang w:val="en-US" w:eastAsia="zh-CN"/>
        </w:rPr>
        <w:t>负责餐厨垃圾管理、清运和私屠乱宰残留物的监管清理工作。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color w:val="000000"/>
          <w:kern w:val="0"/>
          <w:sz w:val="32"/>
          <w:szCs w:val="32"/>
          <w:lang w:val="en-US" w:eastAsia="zh-CN"/>
        </w:rPr>
      </w:pPr>
      <w:r>
        <w:rPr>
          <w:rFonts w:hint="eastAsia" w:ascii="楷体" w:hAnsi="楷体" w:eastAsia="楷体" w:cs="楷体"/>
          <w:b/>
          <w:bCs/>
          <w:color w:val="000000"/>
          <w:kern w:val="0"/>
          <w:sz w:val="32"/>
          <w:szCs w:val="32"/>
          <w:lang w:val="en-US" w:eastAsia="zh-CN"/>
        </w:rPr>
        <w:t>（三）各村职责</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color w:val="000000"/>
          <w:kern w:val="0"/>
          <w:sz w:val="32"/>
          <w:szCs w:val="32"/>
          <w:lang w:val="en-US" w:eastAsia="zh-CN"/>
        </w:rPr>
        <w:t>各村积极组织力量，对本村疫区、疫点内的病畜禽和同群畜禽进行扑杀、焚烧、深埋处理；对污染物进行无害化处理；对受威胁区易感动物实施紧急免疫接种；对疫区、受威胁区的动物、场地、圈舍全面开展消毒；组织人员对疫区进行封锁并做好受灾群众的安抚工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三、重大动物疫病确认</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color w:val="000000"/>
          <w:kern w:val="0"/>
          <w:sz w:val="32"/>
          <w:szCs w:val="32"/>
          <w:lang w:val="en-US" w:eastAsia="zh-CN"/>
        </w:rPr>
        <w:t>1、发现或接到疫情报告后，由村居向镇畜牧站上报，镇指挥部向县重大动物疫情应急指挥部报告。逐级上报，不得越级上报。由县动物卫生监督机构派出两名以上具有中级兽医师职称的专业技术人员到现场，根据流行病学和病理解剖变化，做出现场初步诊断结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color w:val="000000"/>
          <w:kern w:val="0"/>
          <w:sz w:val="32"/>
          <w:szCs w:val="32"/>
          <w:lang w:val="en-US" w:eastAsia="zh-CN"/>
        </w:rPr>
        <w:t>2、对不能做出现场诊断的重大动物疫病，必须采集病料送自治区动物防疫站疫病诊断检测中心进行检验，自治区动物防疫机构或动物防疫监督机构根据检测中心出具的检测结果，做出诊断结论。需要测定病毒型时，按照农业部的相关要求，逐级上报自治区畜牧兽医行政主管部门，按具体规定办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四、重大动物疫病、疫情的应急反应</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color w:val="000000"/>
          <w:kern w:val="0"/>
          <w:sz w:val="32"/>
          <w:szCs w:val="32"/>
          <w:lang w:val="en-US" w:eastAsia="zh-CN"/>
        </w:rPr>
        <w:t>重大动物疫情发生后，疫区所在的村队必须立即向镇畜牧站报告，镇畜牧站必须立即向镇人民政府指挥部报告，并立即提出疫点、疫区或受威胁区的范围和重大动物疫情控制措施建议，同时将疫情按照本预案规定迅速上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color w:val="000000"/>
          <w:kern w:val="0"/>
          <w:sz w:val="32"/>
          <w:szCs w:val="32"/>
          <w:lang w:val="en-US" w:eastAsia="zh-CN"/>
        </w:rPr>
        <w:t>镇防治重大动物疫病指挥部接到疫情报告，经县动物防疫机构确诊后，要立即召开会议，作出对控制和扑灭疫情的有关决策，根据决策，报县人民政府进行处置，并组织有关单位和疫情所在村队对疫点、疫区、受威胁区采取封锁、隔离、实施紧急免疫接种和消毒工作，扑杀病畜、对污染物进行无害化处理，迅速扑灭疫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五、保障系统</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lang w:val="en-US" w:eastAsia="zh-CN"/>
        </w:rPr>
      </w:pPr>
      <w:r>
        <w:rPr>
          <w:rFonts w:hint="eastAsia" w:ascii="楷体" w:hAnsi="楷体" w:eastAsia="楷体" w:cs="楷体"/>
          <w:b/>
          <w:bCs/>
          <w:color w:val="000000"/>
          <w:kern w:val="0"/>
          <w:sz w:val="32"/>
          <w:szCs w:val="32"/>
          <w:lang w:val="en-US" w:eastAsia="zh-CN"/>
        </w:rPr>
        <w:t xml:space="preserve">（一）物资保障。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color w:val="000000"/>
          <w:kern w:val="0"/>
          <w:sz w:val="32"/>
          <w:szCs w:val="32"/>
          <w:lang w:val="en-US" w:eastAsia="zh-CN"/>
        </w:rPr>
        <w:t>镇人民政府建立重大动物疫病防治应急物资储备库，地点设在镇畜牧站，并由镇畜牧站负责采购、储备专用物资和日常管理工作。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color w:val="000000"/>
          <w:kern w:val="0"/>
          <w:sz w:val="32"/>
          <w:szCs w:val="32"/>
          <w:lang w:val="en-US" w:eastAsia="zh-CN"/>
        </w:rPr>
      </w:pPr>
      <w:r>
        <w:rPr>
          <w:rFonts w:hint="eastAsia" w:ascii="楷体" w:hAnsi="楷体" w:eastAsia="楷体" w:cs="楷体"/>
          <w:b/>
          <w:bCs/>
          <w:color w:val="000000"/>
          <w:kern w:val="0"/>
          <w:sz w:val="32"/>
          <w:szCs w:val="32"/>
          <w:lang w:val="en-US" w:eastAsia="zh-CN"/>
        </w:rPr>
        <w:t>（二）资金保障。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color w:val="000000"/>
          <w:kern w:val="0"/>
          <w:sz w:val="32"/>
          <w:szCs w:val="32"/>
          <w:lang w:val="en-US" w:eastAsia="zh-CN"/>
        </w:rPr>
        <w:t>镇人民政府建立重大动物疫病防治应急资金储备专户，资金来源由镇财经所安排 ，具体数额由镇财经所和镇畜牧站商定。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Arial" w:eastAsia="仿宋_GB2312" w:cs="Arial"/>
          <w:color w:val="000000"/>
          <w:kern w:val="0"/>
          <w:sz w:val="32"/>
          <w:szCs w:val="32"/>
          <w:lang w:val="en-US" w:eastAsia="zh-CN"/>
        </w:rPr>
      </w:pPr>
      <w:r>
        <w:rPr>
          <w:rFonts w:hint="eastAsia" w:ascii="楷体" w:hAnsi="楷体" w:eastAsia="楷体" w:cs="楷体"/>
          <w:b/>
          <w:bCs/>
          <w:color w:val="000000"/>
          <w:kern w:val="0"/>
          <w:sz w:val="32"/>
          <w:szCs w:val="32"/>
          <w:lang w:val="en-US" w:eastAsia="zh-CN"/>
        </w:rPr>
        <w:t>（三）技术保障。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color w:val="000000"/>
          <w:kern w:val="0"/>
          <w:sz w:val="32"/>
          <w:szCs w:val="32"/>
          <w:lang w:val="en-US" w:eastAsia="zh-CN"/>
        </w:rPr>
        <w:t>镇畜牧站配合县疫情指挥部相关单位负责全镇重大动物疫病的研究、技术指导及辖区内的重大动物疫病诊断。</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color w:val="000000"/>
          <w:kern w:val="0"/>
          <w:sz w:val="32"/>
          <w:szCs w:val="32"/>
          <w:lang w:val="en-US" w:eastAsia="zh-CN"/>
        </w:rPr>
      </w:pPr>
      <w:r>
        <w:rPr>
          <w:rFonts w:hint="eastAsia" w:ascii="楷体" w:hAnsi="楷体" w:eastAsia="楷体" w:cs="楷体"/>
          <w:b/>
          <w:bCs/>
          <w:color w:val="000000"/>
          <w:kern w:val="0"/>
          <w:sz w:val="32"/>
          <w:szCs w:val="32"/>
          <w:lang w:val="en-US" w:eastAsia="zh-CN"/>
        </w:rPr>
        <w:t>人员保障。</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color w:val="000000"/>
          <w:kern w:val="0"/>
          <w:sz w:val="32"/>
          <w:szCs w:val="32"/>
          <w:lang w:val="en-US" w:eastAsia="zh-CN"/>
        </w:rPr>
        <w:t>镇畜牧站设立重大动物疫病临床诊断专家组，负责为指挥部办公室提供控制和扑灭重大动物疫病的技术决策建议。指挥部办公室组建扑灭重大动物疫情应急预备队。</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color w:val="000000"/>
          <w:kern w:val="0"/>
          <w:sz w:val="32"/>
          <w:szCs w:val="32"/>
          <w:lang w:val="en-US" w:eastAsia="zh-CN"/>
        </w:rPr>
      </w:pPr>
      <w:r>
        <w:rPr>
          <w:rFonts w:hint="eastAsia" w:ascii="楷体" w:hAnsi="楷体" w:eastAsia="楷体" w:cs="楷体"/>
          <w:b/>
          <w:bCs/>
          <w:color w:val="000000"/>
          <w:kern w:val="0"/>
          <w:sz w:val="32"/>
          <w:szCs w:val="32"/>
          <w:lang w:val="en-US" w:eastAsia="zh-CN"/>
        </w:rPr>
        <w:t>六、其它事项</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color w:val="000000"/>
          <w:kern w:val="0"/>
          <w:sz w:val="32"/>
          <w:szCs w:val="32"/>
          <w:lang w:val="en-US" w:eastAsia="zh-CN"/>
        </w:rPr>
        <w:t>指挥部各成员必须履行本预案规定的责任，对违反本预案规定并造成严重后果的，要依法追究有关责任人的责任。</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color w:val="000000"/>
          <w:kern w:val="0"/>
          <w:sz w:val="32"/>
          <w:szCs w:val="32"/>
          <w:lang w:val="en-US" w:eastAsia="zh-CN"/>
        </w:rPr>
        <w:t>本预案自发布之日起实施。</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Arial" w:eastAsia="仿宋_GB2312" w:cs="Arial"/>
          <w:color w:val="000000"/>
          <w:kern w:val="0"/>
          <w:sz w:val="32"/>
          <w:szCs w:val="32"/>
          <w:lang w:val="en-US" w:eastAsia="zh-CN"/>
        </w:rPr>
      </w:pPr>
    </w:p>
    <w:p/>
    <w:sectPr>
      <w:headerReference r:id="rId3" w:type="default"/>
      <w:footerReference r:id="rId4" w:type="default"/>
      <w:pgSz w:w="11906" w:h="16838"/>
      <w:pgMar w:top="1984" w:right="1587"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422"/>
        <w:tab w:val="clear" w:pos="4153"/>
      </w:tabs>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7</w:t>
                          </w:r>
                          <w:r>
                            <w:rPr>
                              <w:rFonts w:hint="eastAsia"/>
                              <w:sz w:val="18"/>
                              <w:lang w:eastAsia="zh-CN"/>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keru/AQAAjA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8CZE5Yu/M/3n79//WDL5E0f&#10;sKKWp/AIU4YUJqFDCza9SQIbsp/ni59qiExScblerdclWS3pbE4Ip3j+PADGT8pbloKaA11Y9lGc&#10;vmAcW+eWNM35O20M1UVl3D8FwkyVIjEeOaYoDvthIr73zZmk9nTXNXe02pyZz46sTGsxBzAH+zk4&#10;BtCHLu9Nmofh9hiJROaWJoyw02C6pKxuWqi0BS/z3PX8E2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GpHq7vwEAAIwDAAAOAAAAAAAAAAEAIAAAAB8BAABkcnMvZTJvRG9jLnhtbFBLBQYA&#10;AAAABgAGAFkBAABQBQAAAAA=&#10;">
              <v:path/>
              <v:fill on="f" focussize="0,0"/>
              <v:stroke on="f"/>
              <v:imagedata o:title=""/>
              <o:lock v:ext="edit" grouping="f" rotation="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7</w:t>
                    </w:r>
                    <w:r>
                      <w:rPr>
                        <w:rFonts w:hint="eastAsia"/>
                        <w:sz w:val="18"/>
                        <w:lang w:eastAsia="zh-CN"/>
                      </w:rPr>
                      <w:fldChar w:fldCharType="end"/>
                    </w:r>
                  </w:p>
                </w:txbxContent>
              </v:textbox>
            </v:rect>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4EFA78"/>
    <w:multiLevelType w:val="singleLevel"/>
    <w:tmpl w:val="B94EFA78"/>
    <w:lvl w:ilvl="0" w:tentative="0">
      <w:start w:val="4"/>
      <w:numFmt w:val="chineseCounting"/>
      <w:suff w:val="nothing"/>
      <w:lvlText w:val="（%1）"/>
      <w:lvlJc w:val="left"/>
      <w:rPr>
        <w:rFonts w:hint="eastAsia"/>
      </w:rPr>
    </w:lvl>
  </w:abstractNum>
  <w:abstractNum w:abstractNumId="1">
    <w:nsid w:val="72982EF5"/>
    <w:multiLevelType w:val="singleLevel"/>
    <w:tmpl w:val="72982EF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152B6C"/>
    <w:rsid w:val="1F152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uiPriority w:val="0"/>
    <w:pPr>
      <w:keepNext/>
      <w:keepLines/>
      <w:spacing w:before="340" w:beforeLines="0" w:after="330" w:afterLines="0" w:line="578" w:lineRule="auto"/>
      <w:outlineLvl w:val="0"/>
    </w:pPr>
    <w:rPr>
      <w:b/>
      <w:bCs/>
      <w:kern w:val="44"/>
      <w:sz w:val="44"/>
      <w:szCs w:val="44"/>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样式1"/>
    <w:basedOn w:val="3"/>
    <w:qFormat/>
    <w:uiPriority w:val="0"/>
    <w:pPr>
      <w:widowControl/>
      <w:spacing w:before="260" w:beforeLines="0" w:after="260" w:afterLines="0" w:line="413" w:lineRule="auto"/>
      <w:jc w:val="left"/>
    </w:pPr>
    <w:rPr>
      <w:rFonts w:ascii="宋体" w:hAnsi="宋体"/>
      <w:kern w:val="0"/>
      <w:sz w:val="28"/>
      <w:szCs w:val="2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2021-03-11T00:56:00Z</dcterms:created>
  <dc:creator>lenovo</dc:creator>
  <cp:lastModifiedBy>lenovo</cp:lastModifiedBy>
  <dcterms:modified xsi:type="dcterms:W3CDTF">2021-03-11T00:57:09Z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