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42BC2D">
      <w:pPr>
        <w:pStyle w:val="110"/>
        <w:ind w:firstLine="210"/>
        <w:rPr>
          <w:rFonts w:hAnsi="黑体"/>
          <w:szCs w:val="52"/>
        </w:rPr>
      </w:pPr>
      <w:bookmarkStart w:id="0" w:name="StdName"/>
    </w:p>
    <w:p w14:paraId="1B61AEB2">
      <w:pPr>
        <w:pStyle w:val="110"/>
        <w:ind w:firstLine="210"/>
        <w:rPr>
          <w:rFonts w:hAnsi="黑体"/>
          <w:szCs w:val="52"/>
        </w:rPr>
      </w:pPr>
    </w:p>
    <w:p w14:paraId="79A2885A">
      <w:pPr>
        <w:pStyle w:val="110"/>
        <w:ind w:firstLine="210"/>
        <w:rPr>
          <w:rFonts w:hAnsi="黑体"/>
          <w:szCs w:val="52"/>
        </w:rPr>
      </w:pPr>
    </w:p>
    <w:p w14:paraId="020D278F">
      <w:pPr>
        <w:pStyle w:val="110"/>
        <w:ind w:firstLine="210"/>
        <w:rPr>
          <w:rFonts w:hAnsi="黑体"/>
          <w:szCs w:val="52"/>
        </w:rPr>
      </w:pPr>
    </w:p>
    <w:p w14:paraId="3818D4C9">
      <w:pPr>
        <w:pStyle w:val="110"/>
        <w:ind w:firstLine="210"/>
        <w:rPr>
          <w:rFonts w:hAnsi="黑体"/>
          <w:szCs w:val="52"/>
        </w:rPr>
      </w:pPr>
    </w:p>
    <w:p w14:paraId="0C97C694">
      <w:pPr>
        <w:pStyle w:val="110"/>
        <w:ind w:firstLine="210"/>
      </w:pPr>
      <w:r>
        <w:rPr>
          <w:rFonts w:hint="eastAsia" w:hAnsi="黑体"/>
          <w:szCs w:val="52"/>
        </w:rPr>
        <w:t>平罗县政务公开</w:t>
      </w:r>
      <w:bookmarkEnd w:id="0"/>
      <w:r>
        <w:rPr>
          <w:rFonts w:hint="eastAsia" w:hAnsi="黑体"/>
          <w:szCs w:val="52"/>
        </w:rPr>
        <w:t>涉农补贴主要依据</w:t>
      </w:r>
    </w:p>
    <w:p w14:paraId="1B4CAB02">
      <w:pPr>
        <w:pStyle w:val="110"/>
        <w:ind w:firstLine="210"/>
        <w:rPr>
          <w:rFonts w:hAnsi="黑体"/>
          <w:szCs w:val="52"/>
        </w:rPr>
      </w:pPr>
    </w:p>
    <w:tbl>
      <w:tblPr>
        <w:tblStyle w:val="3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12"/>
      </w:tblGrid>
      <w:tr w14:paraId="49B8E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1" w:hRule="atLeast"/>
        </w:trPr>
        <w:tc>
          <w:tcPr>
            <w:tcW w:w="8712" w:type="dxa"/>
            <w:tcBorders>
              <w:top w:val="nil"/>
              <w:left w:val="nil"/>
              <w:bottom w:val="nil"/>
              <w:right w:val="nil"/>
            </w:tcBorders>
            <w:shd w:val="clear" w:color="auto" w:fill="auto"/>
          </w:tcPr>
          <w:p w14:paraId="73224ED3">
            <w:pPr>
              <w:pStyle w:val="117"/>
            </w:pPr>
            <w:r>
              <w:pict>
                <v:rect id="RQ" o:spid="_x0000_s1031" o:spt="1" style="position:absolute;left:0pt;margin-left:173.3pt;margin-top:337.15pt;height:20pt;width:150pt;z-index:-251657216;mso-width-relative:page;mso-height-relative:page;" stroked="f" coordsize="21600,21600">
                  <v:path/>
                  <v:fill focussize="0,0"/>
                  <v:stroke on="f"/>
                  <v:imagedata o:title=""/>
                  <o:lock v:ext="edit"/>
                  <w10:anchorlock/>
                </v:rect>
              </w:pict>
            </w:r>
          </w:p>
        </w:tc>
      </w:tr>
      <w:tr w14:paraId="72633A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0" w:hRule="atLeast"/>
        </w:trPr>
        <w:tc>
          <w:tcPr>
            <w:tcW w:w="8712" w:type="dxa"/>
            <w:tcBorders>
              <w:top w:val="nil"/>
              <w:left w:val="nil"/>
              <w:bottom w:val="nil"/>
              <w:right w:val="nil"/>
            </w:tcBorders>
            <w:shd w:val="clear" w:color="auto" w:fill="auto"/>
          </w:tcPr>
          <w:p w14:paraId="32B3FC7F">
            <w:pPr>
              <w:pStyle w:val="119"/>
            </w:pPr>
          </w:p>
          <w:p w14:paraId="18CE700C">
            <w:pPr>
              <w:pStyle w:val="119"/>
            </w:pPr>
          </w:p>
          <w:p w14:paraId="25FB91DC">
            <w:pPr>
              <w:pStyle w:val="119"/>
            </w:pPr>
          </w:p>
          <w:p w14:paraId="646E0570">
            <w:pPr>
              <w:pStyle w:val="119"/>
            </w:pPr>
          </w:p>
          <w:p w14:paraId="42411BE5">
            <w:pPr>
              <w:pStyle w:val="119"/>
            </w:pPr>
          </w:p>
          <w:p w14:paraId="29BD0C81">
            <w:pPr>
              <w:pStyle w:val="119"/>
            </w:pPr>
          </w:p>
          <w:p w14:paraId="2D889DF5">
            <w:pPr>
              <w:pStyle w:val="119"/>
            </w:pPr>
          </w:p>
          <w:p w14:paraId="6DE3546D">
            <w:pPr>
              <w:pStyle w:val="119"/>
            </w:pPr>
          </w:p>
          <w:p w14:paraId="17BF0288">
            <w:pPr>
              <w:pStyle w:val="119"/>
            </w:pPr>
          </w:p>
          <w:p w14:paraId="7E3D6187">
            <w:pPr>
              <w:pStyle w:val="119"/>
            </w:pPr>
          </w:p>
          <w:p w14:paraId="4F42E07E">
            <w:pPr>
              <w:pStyle w:val="119"/>
            </w:pPr>
          </w:p>
          <w:p w14:paraId="635EA802">
            <w:pPr>
              <w:pStyle w:val="119"/>
            </w:pPr>
          </w:p>
          <w:p w14:paraId="66E81FF5">
            <w:pPr>
              <w:pStyle w:val="119"/>
            </w:pPr>
          </w:p>
          <w:p w14:paraId="16A96DAE">
            <w:pPr>
              <w:pStyle w:val="119"/>
              <w:spacing w:before="0" w:after="0" w:line="240" w:lineRule="auto"/>
              <w:rPr>
                <w:sz w:val="44"/>
                <w:szCs w:val="44"/>
              </w:rPr>
            </w:pPr>
            <w:r>
              <w:rPr>
                <w:rFonts w:hint="eastAsia"/>
                <w:sz w:val="44"/>
                <w:szCs w:val="44"/>
              </w:rPr>
              <w:t>平罗</w:t>
            </w:r>
            <w:r>
              <w:rPr>
                <w:sz w:val="44"/>
                <w:szCs w:val="44"/>
              </w:rPr>
              <w:t>县人民政府办公室</w:t>
            </w:r>
          </w:p>
        </w:tc>
      </w:tr>
    </w:tbl>
    <w:p w14:paraId="6DC68FF1">
      <w:pPr>
        <w:pStyle w:val="113"/>
      </w:pPr>
    </w:p>
    <w:p w14:paraId="4AD00A5C">
      <w:pPr>
        <w:pStyle w:val="28"/>
        <w:sectPr>
          <w:headerReference r:id="rId3" w:type="even"/>
          <w:footerReference r:id="rId4" w:type="even"/>
          <w:pgSz w:w="11906" w:h="16838"/>
          <w:pgMar w:top="567" w:right="1134" w:bottom="1134" w:left="1417" w:header="0" w:footer="0" w:gutter="0"/>
          <w:pgNumType w:start="1"/>
          <w:cols w:space="425" w:num="1"/>
          <w:docGrid w:type="lines" w:linePitch="312" w:charSpace="0"/>
        </w:sectPr>
      </w:pPr>
    </w:p>
    <w:p w14:paraId="611057C9">
      <w:pPr>
        <w:pStyle w:val="28"/>
        <w:ind w:firstLine="0" w:firstLineChars="0"/>
        <w:rPr>
          <w:sz w:val="28"/>
          <w:szCs w:val="28"/>
        </w:rPr>
      </w:pPr>
      <w:r>
        <w:rPr>
          <w:rFonts w:hint="eastAsia"/>
        </w:rPr>
        <w:t xml:space="preserve">  </w:t>
      </w:r>
    </w:p>
    <w:p w14:paraId="5A930376">
      <w:pPr>
        <w:tabs>
          <w:tab w:val="right" w:pos="9354"/>
        </w:tabs>
        <w:spacing w:beforeLines="50" w:afterLines="50"/>
        <w:jc w:val="center"/>
        <w:rPr>
          <w:rFonts w:ascii="黑体" w:hAnsi="黑体" w:eastAsia="黑体"/>
          <w:sz w:val="32"/>
          <w:szCs w:val="32"/>
        </w:rPr>
      </w:pPr>
      <w:r>
        <w:rPr>
          <w:rFonts w:hint="eastAsia" w:ascii="黑体" w:hAnsi="黑体" w:eastAsia="黑体"/>
          <w:sz w:val="32"/>
          <w:szCs w:val="32"/>
        </w:rPr>
        <w:t>目录</w:t>
      </w:r>
    </w:p>
    <w:p w14:paraId="0962D41E">
      <w:pPr>
        <w:spacing w:before="100" w:beforeAutospacing="1" w:after="100" w:afterAutospacing="1"/>
        <w:rPr>
          <w:rFonts w:ascii="宋体" w:hAnsi="宋体" w:cs="宋体"/>
          <w:kern w:val="0"/>
          <w:szCs w:val="21"/>
        </w:rPr>
      </w:pPr>
    </w:p>
    <w:p w14:paraId="125E285E">
      <w:pPr>
        <w:tabs>
          <w:tab w:val="right" w:pos="9354"/>
        </w:tabs>
        <w:spacing w:before="100" w:beforeAutospacing="1" w:after="100" w:afterAutospacing="1"/>
        <w:jc w:val="distribute"/>
        <w:rPr>
          <w:rFonts w:ascii="宋体" w:hAnsi="宋体"/>
          <w:b/>
          <w:szCs w:val="21"/>
        </w:rPr>
      </w:pPr>
      <w:r>
        <w:rPr>
          <w:rFonts w:hint="eastAsia" w:asciiTheme="minorEastAsia" w:hAnsiTheme="minorEastAsia" w:eastAsiaTheme="minorEastAsia"/>
        </w:rPr>
        <w:t>《国务院关于完善退耕还林政策的通知》</w:t>
      </w:r>
      <w:r>
        <w:rPr>
          <w:rFonts w:ascii="宋体" w:hAnsi="宋体" w:cs="宋体"/>
          <w:kern w:val="0"/>
          <w:szCs w:val="21"/>
          <w:lang w:val="de-DE"/>
        </w:rPr>
        <w:t>…</w:t>
      </w:r>
      <w:r>
        <w:rPr>
          <w:rFonts w:ascii="宋体" w:hAnsi="宋体" w:cs="宋体"/>
          <w:kern w:val="0"/>
          <w:szCs w:val="21"/>
        </w:rPr>
        <w:t>…………………………………………………………………</w:t>
      </w:r>
      <w:r>
        <w:rPr>
          <w:rFonts w:hint="eastAsia" w:ascii="宋体" w:hAnsi="宋体" w:cs="宋体"/>
          <w:kern w:val="0"/>
          <w:szCs w:val="21"/>
        </w:rPr>
        <w:t>1</w:t>
      </w:r>
    </w:p>
    <w:p w14:paraId="0C61A838">
      <w:pPr>
        <w:widowControl/>
        <w:spacing w:before="100" w:beforeAutospacing="1" w:after="100" w:afterAutospacing="1"/>
        <w:jc w:val="distribute"/>
        <w:rPr>
          <w:rFonts w:ascii="宋体" w:hAnsi="宋体" w:cs="宋体"/>
          <w:kern w:val="0"/>
          <w:szCs w:val="21"/>
        </w:rPr>
      </w:pPr>
      <w:r>
        <w:rPr>
          <w:rFonts w:cs="Arial" w:asciiTheme="minorEastAsia" w:hAnsiTheme="minorEastAsia" w:eastAsiaTheme="minorEastAsia"/>
          <w:color w:val="333333"/>
          <w:szCs w:val="21"/>
        </w:rPr>
        <w:t>《关于完善大中型水库移民后期扶持政策的意见》</w:t>
      </w:r>
      <w:r>
        <w:rPr>
          <w:rFonts w:ascii="宋体" w:hAnsi="宋体" w:cs="宋体"/>
          <w:kern w:val="0"/>
          <w:szCs w:val="21"/>
        </w:rPr>
        <w:t>…………………………………………………………</w:t>
      </w:r>
      <w:r>
        <w:rPr>
          <w:rFonts w:hint="eastAsia" w:ascii="宋体" w:hAnsi="宋体" w:cs="宋体"/>
          <w:kern w:val="0"/>
          <w:szCs w:val="21"/>
        </w:rPr>
        <w:t>4</w:t>
      </w:r>
    </w:p>
    <w:p w14:paraId="3B0D780C">
      <w:pPr>
        <w:spacing w:before="100" w:beforeAutospacing="1" w:after="100" w:afterAutospacing="1"/>
      </w:pPr>
      <w:r>
        <w:rPr>
          <w:rFonts w:hint="eastAsia" w:ascii="宋体" w:hAnsi="宋体" w:cs="宋体"/>
          <w:kern w:val="0"/>
          <w:szCs w:val="21"/>
        </w:rPr>
        <w:t>《中华人民共和国政府信息公开条例》</w:t>
      </w:r>
      <w:r>
        <w:rPr>
          <w:rFonts w:ascii="宋体" w:hAnsi="宋体" w:cs="宋体"/>
          <w:kern w:val="0"/>
          <w:szCs w:val="21"/>
        </w:rPr>
        <w:t>………………………………………………………………………</w:t>
      </w:r>
      <w:r>
        <w:rPr>
          <w:rFonts w:hint="eastAsia" w:ascii="宋体" w:hAnsi="宋体" w:cs="宋体"/>
          <w:kern w:val="0"/>
          <w:szCs w:val="21"/>
        </w:rPr>
        <w:t>8</w:t>
      </w:r>
    </w:p>
    <w:p w14:paraId="30E016B9">
      <w:pPr>
        <w:widowControl/>
        <w:spacing w:before="100" w:beforeAutospacing="1" w:after="100" w:afterAutospacing="1"/>
        <w:jc w:val="distribute"/>
        <w:rPr>
          <w:rFonts w:ascii="宋体" w:hAnsi="宋体" w:cs="宋体"/>
          <w:kern w:val="0"/>
          <w:szCs w:val="21"/>
        </w:rPr>
      </w:pPr>
      <w:r>
        <w:rPr>
          <w:rFonts w:hint="eastAsia" w:ascii="宋体" w:hAnsi="宋体" w:cs="宋体"/>
          <w:kern w:val="0"/>
          <w:szCs w:val="21"/>
        </w:rPr>
        <w:t>《国务院办公厅关于印发开展基层政务公开标准化规范化试点工作方案的通知》</w:t>
      </w:r>
      <w:r>
        <w:rPr>
          <w:rFonts w:ascii="宋体" w:hAnsi="宋体" w:cs="宋体"/>
          <w:kern w:val="0"/>
          <w:szCs w:val="21"/>
        </w:rPr>
        <w:t>………………</w:t>
      </w:r>
      <w:r>
        <w:rPr>
          <w:rFonts w:hint="eastAsia" w:ascii="宋体" w:hAnsi="宋体" w:cs="宋体"/>
          <w:kern w:val="0"/>
          <w:szCs w:val="21"/>
        </w:rPr>
        <w:t>12</w:t>
      </w:r>
    </w:p>
    <w:p w14:paraId="2CD240E2">
      <w:pPr>
        <w:widowControl/>
        <w:spacing w:before="100" w:beforeAutospacing="1" w:after="100" w:afterAutospacing="1"/>
        <w:rPr>
          <w:rFonts w:ascii="宋体" w:hAnsi="宋体" w:cs="宋体"/>
          <w:kern w:val="0"/>
          <w:szCs w:val="21"/>
        </w:rPr>
      </w:pPr>
      <w:r>
        <w:rPr>
          <w:rFonts w:cs="Arial" w:asciiTheme="minorEastAsia" w:hAnsiTheme="minorEastAsia" w:eastAsiaTheme="minorEastAsia"/>
          <w:bCs/>
          <w:color w:val="333333"/>
          <w:szCs w:val="21"/>
        </w:rPr>
        <w:t>《农业生产发展资金管理办法》</w:t>
      </w:r>
      <w:r>
        <w:rPr>
          <w:rFonts w:ascii="宋体" w:hAnsi="宋体" w:cs="宋体"/>
          <w:kern w:val="0"/>
          <w:szCs w:val="21"/>
        </w:rPr>
        <w:t>………………………………………………………………………………</w:t>
      </w:r>
      <w:r>
        <w:rPr>
          <w:rFonts w:hint="eastAsia" w:ascii="宋体" w:hAnsi="宋体" w:cs="宋体"/>
          <w:kern w:val="0"/>
          <w:szCs w:val="21"/>
        </w:rPr>
        <w:t>15</w:t>
      </w:r>
    </w:p>
    <w:p w14:paraId="5AD7CD51">
      <w:pPr>
        <w:widowControl/>
        <w:spacing w:before="100" w:beforeAutospacing="1" w:after="100" w:afterAutospacing="1"/>
        <w:jc w:val="distribute"/>
        <w:rPr>
          <w:rFonts w:ascii="宋体" w:hAnsi="宋体" w:cs="宋体"/>
          <w:kern w:val="0"/>
          <w:szCs w:val="21"/>
        </w:rPr>
      </w:pPr>
      <w:r>
        <w:rPr>
          <w:rFonts w:ascii="Arial" w:hAnsi="Arial" w:cs="Arial"/>
          <w:color w:val="333333"/>
          <w:szCs w:val="21"/>
        </w:rPr>
        <w:t>《林业成品油价格补助专项资金管理暂行办法》</w:t>
      </w:r>
      <w:r>
        <w:rPr>
          <w:rFonts w:ascii="宋体" w:hAnsi="宋体" w:cs="宋体"/>
          <w:kern w:val="0"/>
          <w:szCs w:val="21"/>
        </w:rPr>
        <w:t>……………………………………………………………</w:t>
      </w:r>
      <w:r>
        <w:rPr>
          <w:rFonts w:hint="eastAsia" w:ascii="宋体" w:hAnsi="宋体" w:cs="宋体"/>
          <w:kern w:val="0"/>
          <w:szCs w:val="21"/>
        </w:rPr>
        <w:t>18</w:t>
      </w:r>
    </w:p>
    <w:p w14:paraId="37FD8658">
      <w:pPr>
        <w:spacing w:before="100" w:beforeAutospacing="1" w:after="100" w:afterAutospacing="1"/>
      </w:pPr>
      <w:r>
        <w:rPr>
          <w:rFonts w:hint="eastAsia" w:cs="Arial" w:asciiTheme="minorEastAsia" w:hAnsiTheme="minorEastAsia" w:eastAsiaTheme="minorEastAsia"/>
          <w:bCs/>
          <w:color w:val="333333"/>
          <w:kern w:val="36"/>
          <w:szCs w:val="21"/>
        </w:rPr>
        <w:t>《</w:t>
      </w:r>
      <w:r>
        <w:rPr>
          <w:rFonts w:cs="Arial" w:asciiTheme="minorEastAsia" w:hAnsiTheme="minorEastAsia" w:eastAsiaTheme="minorEastAsia"/>
          <w:bCs/>
          <w:color w:val="333333"/>
          <w:kern w:val="36"/>
          <w:szCs w:val="21"/>
        </w:rPr>
        <w:t>关于加快农机购置补贴政策实施促进农业供给侧结构性改革的通知》</w:t>
      </w:r>
      <w:r>
        <w:rPr>
          <w:rFonts w:ascii="宋体" w:hAnsi="宋体" w:cs="宋体"/>
          <w:kern w:val="0"/>
          <w:szCs w:val="21"/>
        </w:rPr>
        <w:t>…………………………………</w:t>
      </w:r>
      <w:r>
        <w:rPr>
          <w:rFonts w:hint="eastAsia" w:ascii="宋体" w:hAnsi="宋体" w:cs="宋体"/>
          <w:kern w:val="0"/>
          <w:szCs w:val="21"/>
        </w:rPr>
        <w:t>20</w:t>
      </w:r>
    </w:p>
    <w:p w14:paraId="4C2AE510">
      <w:pPr>
        <w:spacing w:before="100" w:beforeAutospacing="1" w:after="100" w:afterAutospacing="1"/>
        <w:rPr>
          <w:rFonts w:ascii="宋体" w:hAnsi="宋体" w:cs="宋体"/>
          <w:color w:val="000000"/>
          <w:kern w:val="0"/>
          <w:szCs w:val="21"/>
        </w:rPr>
      </w:pPr>
      <w:r>
        <w:rPr>
          <w:rFonts w:hint="eastAsia"/>
        </w:rPr>
        <w:t>《</w:t>
      </w:r>
      <w:r>
        <w:rPr>
          <w:rFonts w:hint="eastAsia" w:ascii="宋体" w:hAnsi="宋体" w:cs="Arial"/>
          <w:szCs w:val="21"/>
        </w:rPr>
        <w:t>宁夏回族自治区实施&lt;</w:t>
      </w:r>
      <w:r>
        <w:rPr>
          <w:rFonts w:hint="eastAsia" w:ascii="宋体" w:hAnsi="宋体" w:cs="宋体"/>
          <w:kern w:val="0"/>
          <w:szCs w:val="21"/>
        </w:rPr>
        <w:t>中华人民共和国政府信息公开条例&gt;办法》</w:t>
      </w:r>
      <w:r>
        <w:rPr>
          <w:rFonts w:ascii="宋体" w:hAnsi="宋体" w:cs="宋体"/>
          <w:kern w:val="0"/>
          <w:szCs w:val="21"/>
        </w:rPr>
        <w:t>………………………………………</w:t>
      </w:r>
      <w:r>
        <w:rPr>
          <w:rFonts w:hint="eastAsia" w:ascii="宋体" w:hAnsi="宋体" w:cs="宋体"/>
          <w:kern w:val="0"/>
          <w:szCs w:val="21"/>
        </w:rPr>
        <w:t>22</w:t>
      </w:r>
    </w:p>
    <w:p w14:paraId="49555809">
      <w:pPr>
        <w:adjustRightInd w:val="0"/>
        <w:snapToGrid w:val="0"/>
        <w:spacing w:before="100" w:beforeAutospacing="1" w:after="100" w:afterAutospacing="1"/>
        <w:rPr>
          <w:rFonts w:ascii="宋体" w:hAnsi="宋体" w:cs="宋体"/>
          <w:kern w:val="0"/>
          <w:szCs w:val="21"/>
        </w:rPr>
      </w:pPr>
      <w:r>
        <w:rPr>
          <w:rFonts w:hint="eastAsia" w:ascii="宋体" w:hAnsi="宋体" w:cs="宋体"/>
          <w:kern w:val="0"/>
          <w:szCs w:val="21"/>
        </w:rPr>
        <w:t>《自治区人民政府办公厅关于印发开展基层政务公开标准化规范化试点工作实施方案的通知》</w:t>
      </w:r>
      <w:r>
        <w:rPr>
          <w:rFonts w:ascii="宋体" w:hAnsi="宋体" w:cs="宋体"/>
          <w:kern w:val="0"/>
          <w:szCs w:val="21"/>
        </w:rPr>
        <w:t>………</w:t>
      </w:r>
      <w:r>
        <w:rPr>
          <w:rFonts w:hint="eastAsia" w:ascii="宋体" w:hAnsi="宋体" w:cs="宋体"/>
          <w:kern w:val="0"/>
          <w:szCs w:val="21"/>
        </w:rPr>
        <w:t>26</w:t>
      </w:r>
    </w:p>
    <w:p w14:paraId="2E71EEBA">
      <w:pPr>
        <w:adjustRightInd w:val="0"/>
        <w:snapToGrid w:val="0"/>
        <w:spacing w:before="100" w:beforeAutospacing="1" w:after="100" w:afterAutospacing="1"/>
        <w:rPr>
          <w:rFonts w:ascii="宋体" w:hAnsi="宋体" w:cs="宋体"/>
          <w:color w:val="000000"/>
          <w:kern w:val="0"/>
          <w:szCs w:val="21"/>
        </w:rPr>
      </w:pPr>
      <w:r>
        <w:rPr>
          <w:rFonts w:hint="eastAsia" w:asciiTheme="minorEastAsia" w:hAnsiTheme="minorEastAsia" w:eastAsiaTheme="minorEastAsia"/>
          <w:bCs/>
          <w:szCs w:val="21"/>
        </w:rPr>
        <w:t>《宁夏回族自治区完善退耕还林政策补助资金管理办法实施细则》</w:t>
      </w:r>
      <w:r>
        <w:rPr>
          <w:rFonts w:ascii="宋体" w:hAnsi="宋体" w:cs="宋体"/>
          <w:kern w:val="0"/>
          <w:szCs w:val="21"/>
        </w:rPr>
        <w:t>………………………………………</w:t>
      </w:r>
      <w:r>
        <w:rPr>
          <w:rFonts w:hint="eastAsia" w:ascii="宋体" w:hAnsi="宋体" w:cs="宋体"/>
          <w:kern w:val="0"/>
          <w:szCs w:val="21"/>
        </w:rPr>
        <w:t>30</w:t>
      </w:r>
    </w:p>
    <w:p w14:paraId="0ED39D7D">
      <w:pPr>
        <w:spacing w:before="100" w:beforeAutospacing="1" w:after="100" w:afterAutospacing="1"/>
        <w:rPr>
          <w:rFonts w:ascii="宋体" w:hAnsi="宋体" w:cs="宋体"/>
          <w:color w:val="000000"/>
          <w:kern w:val="0"/>
          <w:szCs w:val="21"/>
        </w:rPr>
      </w:pPr>
      <w:r>
        <w:rPr>
          <w:rFonts w:hint="eastAsia"/>
        </w:rPr>
        <w:t>《</w:t>
      </w:r>
      <w:r>
        <w:rPr>
          <w:rFonts w:hint="eastAsia" w:ascii="宋体" w:hAnsi="宋体" w:cs="Arial"/>
          <w:szCs w:val="21"/>
        </w:rPr>
        <w:t>宁夏回族自治区</w:t>
      </w:r>
      <w:r>
        <w:rPr>
          <w:rFonts w:cs="宋体" w:asciiTheme="minorEastAsia" w:hAnsiTheme="minorEastAsia" w:eastAsiaTheme="minorEastAsia"/>
          <w:color w:val="333333"/>
          <w:kern w:val="0"/>
          <w:szCs w:val="21"/>
        </w:rPr>
        <w:t>大中型水库移民后期扶持政策实施方案</w:t>
      </w:r>
      <w:r>
        <w:rPr>
          <w:rFonts w:hint="eastAsia" w:ascii="宋体" w:hAnsi="宋体" w:cs="宋体"/>
          <w:kern w:val="0"/>
          <w:szCs w:val="21"/>
        </w:rPr>
        <w:t>》</w:t>
      </w:r>
      <w:r>
        <w:rPr>
          <w:rFonts w:ascii="宋体" w:hAnsi="宋体" w:cs="宋体"/>
          <w:kern w:val="0"/>
          <w:szCs w:val="21"/>
        </w:rPr>
        <w:t>………………………………………………</w:t>
      </w:r>
      <w:r>
        <w:rPr>
          <w:rFonts w:hint="eastAsia" w:ascii="宋体" w:hAnsi="宋体" w:cs="宋体"/>
          <w:kern w:val="0"/>
          <w:szCs w:val="21"/>
        </w:rPr>
        <w:t>32</w:t>
      </w:r>
    </w:p>
    <w:p w14:paraId="1900A9A4">
      <w:pPr>
        <w:spacing w:before="100" w:beforeAutospacing="1" w:after="100" w:afterAutospacing="1"/>
        <w:rPr>
          <w:rFonts w:ascii="宋体" w:hAnsi="宋体" w:cs="宋体"/>
          <w:kern w:val="0"/>
          <w:szCs w:val="21"/>
        </w:rPr>
      </w:pPr>
      <w:r>
        <w:rPr>
          <w:rFonts w:ascii="ˎ̥" w:hAnsi="ˎ̥" w:cs="宋体"/>
          <w:kern w:val="0"/>
          <w:szCs w:val="21"/>
        </w:rPr>
        <w:t>《宁夏回族自治区农业机械购置补贴产品违规经营行为处理办法（试行）》</w:t>
      </w:r>
      <w:r>
        <w:rPr>
          <w:rFonts w:ascii="宋体" w:hAnsi="宋体" w:cs="宋体"/>
          <w:kern w:val="0"/>
          <w:szCs w:val="21"/>
        </w:rPr>
        <w:t>……………………………</w:t>
      </w:r>
      <w:r>
        <w:rPr>
          <w:rFonts w:hint="eastAsia" w:ascii="宋体" w:hAnsi="宋体" w:cs="宋体"/>
          <w:kern w:val="0"/>
          <w:szCs w:val="21"/>
        </w:rPr>
        <w:t>3</w:t>
      </w:r>
      <w:r>
        <w:rPr>
          <w:rFonts w:ascii="宋体" w:hAnsi="宋体" w:cs="宋体"/>
          <w:kern w:val="0"/>
          <w:szCs w:val="21"/>
        </w:rPr>
        <w:t>8</w:t>
      </w:r>
    </w:p>
    <w:p w14:paraId="375F2BD4">
      <w:pPr>
        <w:pStyle w:val="2"/>
        <w:spacing w:line="240" w:lineRule="auto"/>
        <w:rPr>
          <w:rFonts w:ascii="黑体" w:hAnsi="黑体" w:eastAsia="黑体"/>
          <w:b w:val="0"/>
          <w:color w:val="333333"/>
          <w:sz w:val="32"/>
          <w:szCs w:val="32"/>
        </w:rPr>
        <w:sectPr>
          <w:headerReference r:id="rId7" w:type="first"/>
          <w:headerReference r:id="rId5" w:type="default"/>
          <w:footerReference r:id="rId8" w:type="default"/>
          <w:headerReference r:id="rId6" w:type="even"/>
          <w:footerReference r:id="rId9" w:type="even"/>
          <w:pgSz w:w="11906" w:h="16838"/>
          <w:pgMar w:top="1418" w:right="1134" w:bottom="935" w:left="1417" w:header="1418" w:footer="1134" w:gutter="0"/>
          <w:pgNumType w:fmt="upperRoman" w:start="1"/>
          <w:cols w:space="720" w:num="1"/>
          <w:formProt w:val="0"/>
          <w:docGrid w:linePitch="312" w:charSpace="0"/>
        </w:sectPr>
      </w:pPr>
    </w:p>
    <w:p w14:paraId="39CAD2FC">
      <w:pPr>
        <w:shd w:val="clear" w:color="auto" w:fill="FFFFFF"/>
        <w:spacing w:line="360" w:lineRule="atLeast"/>
        <w:ind w:firstLine="480"/>
        <w:jc w:val="center"/>
        <w:rPr>
          <w:rFonts w:ascii="Arial" w:hAnsi="Arial" w:cs="Arial"/>
          <w:color w:val="333333"/>
          <w:szCs w:val="21"/>
        </w:rPr>
      </w:pPr>
      <w:r>
        <w:rPr>
          <w:rFonts w:ascii="黑体" w:hAnsi="黑体" w:eastAsia="黑体" w:cs="Arial"/>
          <w:bCs/>
          <w:color w:val="333333"/>
          <w:sz w:val="32"/>
          <w:szCs w:val="32"/>
        </w:rPr>
        <w:t>国务院关于完善退耕还林政策的通知</w:t>
      </w:r>
      <w:r>
        <w:rPr>
          <w:rFonts w:ascii="Arial" w:hAnsi="Arial" w:cs="Arial"/>
          <w:color w:val="333333"/>
          <w:szCs w:val="21"/>
        </w:rPr>
        <w:br w:type="textWrapping"/>
      </w:r>
      <w:r>
        <w:rPr>
          <w:rFonts w:ascii="Arial" w:hAnsi="Arial" w:cs="Arial"/>
          <w:color w:val="333333"/>
          <w:szCs w:val="21"/>
        </w:rPr>
        <w:t>　　国发〔2007〕25号</w:t>
      </w:r>
    </w:p>
    <w:p w14:paraId="2FD1FC74">
      <w:pPr>
        <w:shd w:val="clear" w:color="auto" w:fill="FFFFFF"/>
        <w:spacing w:line="360" w:lineRule="atLeast"/>
        <w:ind w:firstLine="480"/>
        <w:rPr>
          <w:rFonts w:ascii="Arial" w:hAnsi="Arial" w:cs="Arial"/>
          <w:color w:val="333333"/>
          <w:szCs w:val="21"/>
        </w:rPr>
      </w:pPr>
    </w:p>
    <w:p w14:paraId="464725D3">
      <w:pPr>
        <w:shd w:val="clear" w:color="auto" w:fill="FFFFFF"/>
        <w:spacing w:line="360" w:lineRule="atLeast"/>
        <w:ind w:firstLine="480"/>
        <w:rPr>
          <w:rFonts w:ascii="Arial" w:hAnsi="Arial" w:cs="Arial"/>
          <w:color w:val="333333"/>
          <w:szCs w:val="21"/>
        </w:rPr>
      </w:pPr>
      <w:r>
        <w:rPr>
          <w:rFonts w:ascii="Arial" w:hAnsi="Arial" w:cs="Arial"/>
          <w:color w:val="333333"/>
          <w:szCs w:val="21"/>
        </w:rPr>
        <w:t>各省、自治区、直辖市人民政府，国务院各部委、各直属机构：</w:t>
      </w:r>
      <w:r>
        <w:rPr>
          <w:rFonts w:ascii="Arial" w:hAnsi="Arial" w:cs="Arial"/>
          <w:color w:val="333333"/>
          <w:szCs w:val="21"/>
        </w:rPr>
        <w:br w:type="textWrapping"/>
      </w:r>
      <w:r>
        <w:rPr>
          <w:rFonts w:ascii="Arial" w:hAnsi="Arial" w:cs="Arial"/>
          <w:color w:val="333333"/>
          <w:szCs w:val="21"/>
        </w:rPr>
        <w:t>　　实施退耕还林是党中央、国务院为改善生态环境做出的重大决策，受到了广大农民的拥护和支持。自1999年开始试点以来，工程进展总体顺利，成效显著，加快了国土绿化进程，增加了林草植被，水土流失和风沙危害强度减轻；退耕还林（含草，下同）对农户的直补政策深得人心，粮食和生活费补助已成为退耕农户收入的重要组成部分，退耕农户生活得到改善。但是，由于解决退耕农户长远生计问题的长效机制尚未建立，随着退耕还林政策补助陆续到期，部分退耕农户生计将出现困难。为此，国务院决定完善退耕还林政策，继续对退耕农户给予适当补助，以巩固退耕还林成果、解决退耕农户生活困难和长远生计问题。</w:t>
      </w:r>
    </w:p>
    <w:p w14:paraId="1217FB72">
      <w:pPr>
        <w:shd w:val="clear" w:color="auto" w:fill="FFFFFF"/>
        <w:spacing w:line="360" w:lineRule="atLeast"/>
        <w:ind w:firstLine="480"/>
        <w:rPr>
          <w:rFonts w:ascii="Arial" w:hAnsi="Arial" w:cs="Arial"/>
          <w:color w:val="333333"/>
          <w:szCs w:val="21"/>
        </w:rPr>
      </w:pPr>
      <w:bookmarkStart w:id="1" w:name="sub17761306_2"/>
      <w:bookmarkEnd w:id="1"/>
      <w:bookmarkStart w:id="2" w:name="具体内容"/>
      <w:bookmarkEnd w:id="2"/>
      <w:r>
        <w:rPr>
          <w:rFonts w:ascii="Arial" w:hAnsi="Arial" w:cs="Arial"/>
          <w:b/>
          <w:bCs/>
          <w:color w:val="333333"/>
          <w:szCs w:val="21"/>
        </w:rPr>
        <w:t>一、指导思想、目标任务和基本原则</w:t>
      </w:r>
      <w:r>
        <w:rPr>
          <w:rFonts w:ascii="Arial" w:hAnsi="Arial" w:cs="Arial"/>
          <w:color w:val="333333"/>
          <w:szCs w:val="21"/>
        </w:rPr>
        <w:br w:type="textWrapping"/>
      </w:r>
      <w:r>
        <w:rPr>
          <w:rFonts w:ascii="Arial" w:hAnsi="Arial" w:cs="Arial"/>
          <w:color w:val="333333"/>
          <w:szCs w:val="21"/>
        </w:rPr>
        <w:t>　　（一）指导思想。以邓小平理论和“三个代表”重要思想为指导，坚持以人为本，全面贯彻落实科学发展观，采取综合措施，加大扶持力度，进一步改善退耕农户生产生活条件，逐步建立起促进生态改善、农民增收和经济发展的长效机制，巩固退耕还林成果，促进退耕还林地区经济社会可持续发展。</w:t>
      </w:r>
      <w:r>
        <w:rPr>
          <w:rFonts w:ascii="Arial" w:hAnsi="Arial" w:cs="Arial"/>
          <w:color w:val="333333"/>
          <w:szCs w:val="21"/>
        </w:rPr>
        <w:br w:type="textWrapping"/>
      </w:r>
      <w:r>
        <w:rPr>
          <w:rFonts w:ascii="Arial" w:hAnsi="Arial" w:cs="Arial"/>
          <w:color w:val="333333"/>
          <w:szCs w:val="21"/>
        </w:rPr>
        <w:t>　　（二）目标任务。一是确保退耕还林成果切实得到巩固。加强林木后期管护，搞好补植补造，提高造林成活率和保存率，杜绝砍树复耕现象发生。二是确保退耕农户长远生计得到有效解决。通过加大基本口粮田建设力度、加强农村能源建设、继续推进生态移民等措施，从根本上解决退耕农户吃饭、烧柴、增收等当前和长远生活问题。</w:t>
      </w:r>
      <w:r>
        <w:rPr>
          <w:rFonts w:ascii="Arial" w:hAnsi="Arial" w:cs="Arial"/>
          <w:color w:val="333333"/>
          <w:szCs w:val="21"/>
        </w:rPr>
        <w:br w:type="textWrapping"/>
      </w:r>
      <w:r>
        <w:rPr>
          <w:rFonts w:ascii="Arial" w:hAnsi="Arial" w:cs="Arial"/>
          <w:color w:val="333333"/>
          <w:szCs w:val="21"/>
        </w:rPr>
        <w:t>　　（三）基本原则。坚持巩固退耕还林成果与解决退耕农户长远生计相结合；坚持国家支持与退耕农户自力更生相结合；坚持中央制定统一的基本政策与省级人民政府负总责相结合。</w:t>
      </w:r>
      <w:r>
        <w:rPr>
          <w:rFonts w:ascii="Arial" w:hAnsi="Arial" w:cs="Arial"/>
          <w:color w:val="333333"/>
          <w:szCs w:val="21"/>
        </w:rPr>
        <w:br w:type="textWrapping"/>
      </w:r>
      <w:r>
        <w:rPr>
          <w:rFonts w:ascii="Arial" w:hAnsi="Arial" w:cs="Arial"/>
          <w:color w:val="333333"/>
          <w:szCs w:val="21"/>
        </w:rPr>
        <w:t>　　</w:t>
      </w:r>
      <w:r>
        <w:rPr>
          <w:rFonts w:ascii="Arial" w:hAnsi="Arial" w:cs="Arial"/>
          <w:b/>
          <w:bCs/>
          <w:color w:val="333333"/>
          <w:szCs w:val="21"/>
        </w:rPr>
        <w:t>二、政策内容</w:t>
      </w:r>
      <w:r>
        <w:rPr>
          <w:rFonts w:ascii="Arial" w:hAnsi="Arial" w:cs="Arial"/>
          <w:color w:val="333333"/>
          <w:szCs w:val="21"/>
        </w:rPr>
        <w:br w:type="textWrapping"/>
      </w:r>
      <w:r>
        <w:rPr>
          <w:rFonts w:ascii="Arial" w:hAnsi="Arial" w:cs="Arial"/>
          <w:color w:val="333333"/>
          <w:szCs w:val="21"/>
        </w:rPr>
        <w:t>　　（四）继续对退耕农户直接补助。现行退耕还林粮食和生活费补助期满后，中央财政安排资金，继续对退耕农户给予适当的现金补助，解决退耕农户当前生活困难。补助标准为：长江流域及南方地区每亩退耕地每年补助现金105元；黄河流域及北方地区每亩退耕地每年补助现金70元。原每亩退耕地每年20元生活补助费，继续直接补助给退耕农户，并与管护任务挂钩。补助期为：还生态林补助8年，还经济林补助5年，还草补助2年。根据验收结果，兑现补助资金。各地可结合本地实际，在国家规定的补助标准基础上，再适当提高补助标准。凡2006年底前退耕还林粮食和生活费补助政策已经期满的，要从2007年起发放补助；2007年以后到期的，从次年起发放补助。</w:t>
      </w:r>
      <w:r>
        <w:rPr>
          <w:rFonts w:ascii="Arial" w:hAnsi="Arial" w:cs="Arial"/>
          <w:color w:val="333333"/>
          <w:szCs w:val="21"/>
        </w:rPr>
        <w:br w:type="textWrapping"/>
      </w:r>
      <w:r>
        <w:rPr>
          <w:rFonts w:ascii="Arial" w:hAnsi="Arial" w:cs="Arial"/>
          <w:color w:val="333333"/>
          <w:szCs w:val="21"/>
        </w:rPr>
        <w:t>　　（五）建立巩固退耕还林成果专项资金。为集中力量解决影响退耕农户长远生计的突出问题，中央财政安排一定规模资金，作为巩固退耕还林成果专项资金，主要用于西部地区、京津风沙源治理区和享受西部地区政策的中部地区退耕农户的基本口粮田建设、农村能源建设、生态移民以及补植补造，并向特殊困难地区倾斜。</w:t>
      </w:r>
      <w:r>
        <w:rPr>
          <w:rFonts w:ascii="Arial" w:hAnsi="Arial" w:cs="Arial"/>
          <w:color w:val="333333"/>
          <w:szCs w:val="21"/>
        </w:rPr>
        <w:br w:type="textWrapping"/>
      </w:r>
      <w:r>
        <w:rPr>
          <w:rFonts w:ascii="Arial" w:hAnsi="Arial" w:cs="Arial"/>
          <w:color w:val="333333"/>
          <w:szCs w:val="21"/>
        </w:rPr>
        <w:t>　　中央财政按照退耕地还林面积核定各省（区、市）巩固退耕还林成果专项资金总量，并从2008年起按8年集中安排，逐年下达，包干到省。专项资金要实行专户管理，专款专用，并与原有国家各项扶持资金统筹使用。具体使用和管理办法由财政部会同发展改革委、西部开发办、农业部、林业局等部门制定，报国务院批准。</w:t>
      </w:r>
      <w:r>
        <w:rPr>
          <w:rFonts w:ascii="Arial" w:hAnsi="Arial" w:cs="Arial"/>
          <w:color w:val="333333"/>
          <w:szCs w:val="21"/>
        </w:rPr>
        <w:br w:type="textWrapping"/>
      </w:r>
      <w:r>
        <w:rPr>
          <w:rFonts w:ascii="Arial" w:hAnsi="Arial" w:cs="Arial"/>
          <w:color w:val="333333"/>
          <w:szCs w:val="21"/>
        </w:rPr>
        <w:t>　　</w:t>
      </w:r>
      <w:r>
        <w:rPr>
          <w:rFonts w:ascii="Arial" w:hAnsi="Arial" w:cs="Arial"/>
          <w:b/>
          <w:bCs/>
          <w:color w:val="333333"/>
          <w:szCs w:val="21"/>
        </w:rPr>
        <w:t>三、配套措施</w:t>
      </w:r>
      <w:r>
        <w:rPr>
          <w:rFonts w:ascii="Arial" w:hAnsi="Arial" w:cs="Arial"/>
          <w:color w:val="333333"/>
          <w:szCs w:val="21"/>
        </w:rPr>
        <w:br w:type="textWrapping"/>
      </w:r>
      <w:r>
        <w:rPr>
          <w:rFonts w:ascii="Arial" w:hAnsi="Arial" w:cs="Arial"/>
          <w:color w:val="333333"/>
          <w:szCs w:val="21"/>
        </w:rPr>
        <w:t>　　（六）加大基本口粮田建设力度。建设基本口粮田是解决退耕农户长远生计、巩固退耕还林成果的关键。要加大力度，力争用5年时间，实现具备条件的西南地区退耕农户人均不低于0.5亩、西北地区人均不低于2亩高产稳产基本口粮田的目标。对基本口粮田建设，中央安排预算内基本建设投资和巩固退耕还林成果专项资金给予补助，西南地区每亩补助600元，西北地区每亩补助400元。退耕还林有关地区要加大投入力度，加强基本口粮田建设。</w:t>
      </w:r>
      <w:r>
        <w:rPr>
          <w:rFonts w:ascii="Arial" w:hAnsi="Arial" w:cs="Arial"/>
          <w:color w:val="333333"/>
          <w:szCs w:val="21"/>
        </w:rPr>
        <w:br w:type="textWrapping"/>
      </w:r>
      <w:r>
        <w:rPr>
          <w:rFonts w:ascii="Arial" w:hAnsi="Arial" w:cs="Arial"/>
          <w:color w:val="333333"/>
          <w:szCs w:val="21"/>
        </w:rPr>
        <w:t>　　（七）加强农村能源建设。各地要从实际出发，因地制宜，以农村沼气建设为重点、多能互补，加强节柴灶、太阳灶建设，适当发展小水电。采取中央补助、地方配套和农民自筹相结合的方式，搞好退耕还林地区的农村能源建设。</w:t>
      </w:r>
      <w:r>
        <w:rPr>
          <w:rFonts w:ascii="Arial" w:hAnsi="Arial" w:cs="Arial"/>
          <w:color w:val="333333"/>
          <w:szCs w:val="21"/>
        </w:rPr>
        <w:br w:type="textWrapping"/>
      </w:r>
      <w:r>
        <w:rPr>
          <w:rFonts w:ascii="Arial" w:hAnsi="Arial" w:cs="Arial"/>
          <w:color w:val="333333"/>
          <w:szCs w:val="21"/>
        </w:rPr>
        <w:t>　　（八）继续推进生态移民。对居住地基本不具备生存条件的特困人口，实行易地搬迁。对西部一些经济发展明显落后，少数民族人口较多，生态位置重要的贫困地区，巩固退耕还林成果专项资金要给予重点支持。</w:t>
      </w:r>
      <w:r>
        <w:rPr>
          <w:rFonts w:ascii="Arial" w:hAnsi="Arial" w:cs="Arial"/>
          <w:color w:val="333333"/>
          <w:szCs w:val="21"/>
        </w:rPr>
        <w:br w:type="textWrapping"/>
      </w:r>
      <w:r>
        <w:rPr>
          <w:rFonts w:ascii="Arial" w:hAnsi="Arial" w:cs="Arial"/>
          <w:color w:val="333333"/>
          <w:szCs w:val="21"/>
        </w:rPr>
        <w:t>　　（九）继续扶持退耕还林地区。中央有关预算内基本建设投资和支农惠农财政资金要继续按原计划安排，统筹协调，保证相关资金能够整合使用。鼓励退耕农户和社会力量投资巩固退耕还林成果建设，允许退耕农户投资投劳兴建直接受益的生产生活设施。</w:t>
      </w:r>
      <w:r>
        <w:rPr>
          <w:rFonts w:ascii="Arial" w:hAnsi="Arial" w:cs="Arial"/>
          <w:color w:val="333333"/>
          <w:szCs w:val="21"/>
        </w:rPr>
        <w:br w:type="textWrapping"/>
      </w:r>
      <w:r>
        <w:rPr>
          <w:rFonts w:ascii="Arial" w:hAnsi="Arial" w:cs="Arial"/>
          <w:color w:val="333333"/>
          <w:szCs w:val="21"/>
        </w:rPr>
        <w:t>　　（十）调整退耕还林规划。为确保“十一五”期间耕地不少于18亿亩，原定“十一五”期间退耕还林2000万亩的规模，除2006年已安排400万亩外，其余暂不安排。国务院有关部门要进一步摸清25度以上坡耕地的实际情况，在深入调查研究、认真总结经验的基础上，实事求是地制订退耕还林工程建设规划。</w:t>
      </w:r>
      <w:r>
        <w:rPr>
          <w:rFonts w:ascii="Arial" w:hAnsi="Arial" w:cs="Arial"/>
          <w:color w:val="333333"/>
          <w:szCs w:val="21"/>
        </w:rPr>
        <w:br w:type="textWrapping"/>
      </w:r>
      <w:r>
        <w:rPr>
          <w:rFonts w:ascii="Arial" w:hAnsi="Arial" w:cs="Arial"/>
          <w:color w:val="333333"/>
          <w:szCs w:val="21"/>
        </w:rPr>
        <w:t>　　（十一）继续安排荒山造林计划。为加快国土绿化进程，推进生态建设，今后仍继续安排荒山造林、封山育林。继续按原渠道安排种苗造林补助资金，并视情况适当提高补助标准。在安排荒山造林任务的同时，地方政府要负责安排好补植补造、抚育管理、病虫害防治和工程管理等工作，并安排相应经费。在不破坏植被、造成新的水土流失的前提下，允许农民间种豆类等矮秆农作物，以耕促抚、以耕促管。</w:t>
      </w:r>
      <w:r>
        <w:rPr>
          <w:rFonts w:ascii="Arial" w:hAnsi="Arial" w:cs="Arial"/>
          <w:color w:val="333333"/>
          <w:szCs w:val="21"/>
        </w:rPr>
        <w:br w:type="textWrapping"/>
      </w:r>
      <w:r>
        <w:rPr>
          <w:rFonts w:ascii="Arial" w:hAnsi="Arial" w:cs="Arial"/>
          <w:color w:val="333333"/>
          <w:szCs w:val="21"/>
        </w:rPr>
        <w:t>　　</w:t>
      </w:r>
      <w:r>
        <w:rPr>
          <w:rFonts w:ascii="Arial" w:hAnsi="Arial" w:cs="Arial"/>
          <w:b/>
          <w:bCs/>
          <w:color w:val="333333"/>
          <w:szCs w:val="21"/>
        </w:rPr>
        <w:t>四、组织实施</w:t>
      </w:r>
      <w:r>
        <w:rPr>
          <w:rFonts w:ascii="Arial" w:hAnsi="Arial" w:cs="Arial"/>
          <w:color w:val="333333"/>
          <w:szCs w:val="21"/>
        </w:rPr>
        <w:br w:type="textWrapping"/>
      </w:r>
      <w:r>
        <w:rPr>
          <w:rFonts w:ascii="Arial" w:hAnsi="Arial" w:cs="Arial"/>
          <w:color w:val="333333"/>
          <w:szCs w:val="21"/>
        </w:rPr>
        <w:t>　　（十二）加强领导，落实责任。省级人民政府要对本地区巩固退耕还林成果、解决退耕农户长远生计工作负总责，坚持目标、任务、资金、责任“四到省”原则。市、县、乡要层层落实巩固成果的目标和责任，逐乡、逐村、逐户地狠抓落实。</w:t>
      </w:r>
      <w:r>
        <w:rPr>
          <w:rFonts w:ascii="Arial" w:hAnsi="Arial" w:cs="Arial"/>
          <w:color w:val="333333"/>
          <w:szCs w:val="21"/>
        </w:rPr>
        <w:br w:type="textWrapping"/>
      </w:r>
      <w:r>
        <w:rPr>
          <w:rFonts w:ascii="Arial" w:hAnsi="Arial" w:cs="Arial"/>
          <w:color w:val="333333"/>
          <w:szCs w:val="21"/>
        </w:rPr>
        <w:t>　　（十三）科学规划，统筹安排。有关省级人民政府要制订切实可行的巩固退耕还林成果专项规划，重点包括退耕地区基本口粮田建设规划、农村能源建设规划、生态移民规划、农户接续产业发展规划等，并安排必要的退耕还林工作经费。规划要综合考虑还林的经营管理措施和退耕农户近期生计及长远发展配套项目，坚持因地制宜，突出重点，远近结合，综合整治，并与当地新农村建设规划等各专项规划相衔接。规划报发展改革委会同西部开发办、财政部、农业部、林业局等有关部门审批。经批准的规划作为安排年度项目和巩固退耕还林成果专项资金的前提和依据。退耕还林工作经费安排方案要随专项规划一并上报。</w:t>
      </w:r>
      <w:r>
        <w:rPr>
          <w:rFonts w:ascii="Arial" w:hAnsi="Arial" w:cs="Arial"/>
          <w:color w:val="333333"/>
          <w:szCs w:val="21"/>
        </w:rPr>
        <w:br w:type="textWrapping"/>
      </w:r>
      <w:r>
        <w:rPr>
          <w:rFonts w:ascii="Arial" w:hAnsi="Arial" w:cs="Arial"/>
          <w:color w:val="333333"/>
          <w:szCs w:val="21"/>
        </w:rPr>
        <w:t>　　（十四）强化监督，严格检查。地方各级人民政府要认真落实政策，严肃工作纪律，严格核实退耕还林面积，严格资金支出管理，严禁弄虚作假骗取和截留挪用对农户的补助资金及专项资金。对于不认真执行中央政策的，根据问题性质和情节轻重，依法追究有关责任人员特别是地方人民政府负责人的责任。各级监察、审计部门要加强监督检查。</w:t>
      </w:r>
      <w:r>
        <w:rPr>
          <w:rFonts w:ascii="Arial" w:hAnsi="Arial" w:cs="Arial"/>
          <w:color w:val="333333"/>
          <w:szCs w:val="21"/>
        </w:rPr>
        <w:br w:type="textWrapping"/>
      </w:r>
      <w:r>
        <w:rPr>
          <w:rFonts w:ascii="Arial" w:hAnsi="Arial" w:cs="Arial"/>
          <w:color w:val="333333"/>
          <w:szCs w:val="21"/>
        </w:rPr>
        <w:t>　　（十五）健全机制，加强协调。建立巩固退耕还林成果部际联席会议制度，协调巩固退耕还林成果有关工作。有关部门要按照规划要求，各司其职，各负其责，加强沟通，协同配合，形成合力，确保退耕还林成果切实得到巩固，退耕农户长远生计得到有效解决。</w:t>
      </w:r>
      <w:r>
        <w:rPr>
          <w:rFonts w:ascii="Arial" w:hAnsi="Arial" w:cs="Arial"/>
          <w:color w:val="333333"/>
          <w:szCs w:val="21"/>
        </w:rPr>
        <w:br w:type="textWrapping"/>
      </w:r>
      <w:r>
        <w:rPr>
          <w:rFonts w:ascii="Arial" w:hAnsi="Arial" w:cs="Arial"/>
          <w:color w:val="333333"/>
          <w:szCs w:val="21"/>
        </w:rPr>
        <w:t>　　退耕还林工程涉及到亿万农民，把这一项荫及子孙、惠及万民的工程建设好、巩固好、发展好，需要地方各级人民政府和全社会的共同努力。地方各级人民政府要从事关我国生态安全、全面建设小康社会和构建社会主义和谐社会的高度，充分认识巩固退耕还林成果的重要性和紧迫性，采取有力措施，确保政策落到实处，取得实效。</w:t>
      </w:r>
      <w:r>
        <w:rPr>
          <w:rFonts w:ascii="Arial" w:hAnsi="Arial" w:cs="Arial"/>
          <w:color w:val="333333"/>
          <w:szCs w:val="21"/>
        </w:rPr>
        <w:br w:type="textWrapping"/>
      </w:r>
      <w:r>
        <w:rPr>
          <w:rFonts w:ascii="Arial" w:hAnsi="Arial" w:cs="Arial"/>
          <w:color w:val="333333"/>
          <w:szCs w:val="21"/>
        </w:rPr>
        <w:t>　　国务院</w:t>
      </w:r>
      <w:r>
        <w:rPr>
          <w:rFonts w:ascii="Arial" w:hAnsi="Arial" w:cs="Arial"/>
          <w:color w:val="333333"/>
          <w:szCs w:val="21"/>
        </w:rPr>
        <w:br w:type="textWrapping"/>
      </w:r>
      <w:r>
        <w:rPr>
          <w:rFonts w:ascii="Arial" w:hAnsi="Arial" w:cs="Arial"/>
          <w:color w:val="333333"/>
          <w:szCs w:val="21"/>
        </w:rPr>
        <w:t>　　二○○七年八月九日</w:t>
      </w:r>
    </w:p>
    <w:p w14:paraId="7DE4F655"/>
    <w:p w14:paraId="0B7708A8"/>
    <w:p w14:paraId="0F37AD6F"/>
    <w:p w14:paraId="7680DEBD"/>
    <w:p w14:paraId="2AD9D3C0"/>
    <w:p w14:paraId="56CC906F"/>
    <w:p w14:paraId="64D9C03C"/>
    <w:p w14:paraId="7777E133"/>
    <w:p w14:paraId="09F9AFF5"/>
    <w:p w14:paraId="564B6F50"/>
    <w:p w14:paraId="1ACA0CDC"/>
    <w:p w14:paraId="546E84D9"/>
    <w:p w14:paraId="3C0F6BA0"/>
    <w:p w14:paraId="4EBE7567"/>
    <w:p w14:paraId="18F1F4BB"/>
    <w:p w14:paraId="303174A4"/>
    <w:p w14:paraId="2252E071"/>
    <w:p w14:paraId="232962F5"/>
    <w:p w14:paraId="5B7E937E"/>
    <w:p w14:paraId="38CD2E25"/>
    <w:p w14:paraId="5C083DDC"/>
    <w:p w14:paraId="1198EDFA"/>
    <w:p w14:paraId="1DE8F274"/>
    <w:p w14:paraId="597B0BA9"/>
    <w:p w14:paraId="45C96F47"/>
    <w:p w14:paraId="34F7D96E"/>
    <w:p w14:paraId="405CD235"/>
    <w:p w14:paraId="65D85446"/>
    <w:p w14:paraId="5A5035DF"/>
    <w:p w14:paraId="788067F9"/>
    <w:p w14:paraId="312D13EC"/>
    <w:p w14:paraId="4817BC0A"/>
    <w:p w14:paraId="6B9D522F"/>
    <w:p w14:paraId="66A548FC"/>
    <w:p w14:paraId="1DD17EB8"/>
    <w:p w14:paraId="6CCEA807"/>
    <w:p w14:paraId="03F5C901"/>
    <w:p w14:paraId="49445D79"/>
    <w:p w14:paraId="6145E48A"/>
    <w:p w14:paraId="786B1053"/>
    <w:p w14:paraId="13CE627E"/>
    <w:p w14:paraId="7658C572"/>
    <w:p w14:paraId="7DD9D6C0">
      <w:pPr>
        <w:pStyle w:val="2"/>
        <w:shd w:val="clear" w:color="auto" w:fill="FFFFFF"/>
        <w:spacing w:line="240" w:lineRule="auto"/>
        <w:ind w:left="2" w:leftChars="-342" w:hanging="720" w:hangingChars="225"/>
        <w:jc w:val="center"/>
        <w:rPr>
          <w:rFonts w:ascii="黑体" w:hAnsi="黑体" w:eastAsia="黑体" w:cs="Arial"/>
          <w:b w:val="0"/>
          <w:sz w:val="32"/>
          <w:szCs w:val="32"/>
        </w:rPr>
      </w:pPr>
      <w:r>
        <w:rPr>
          <w:rFonts w:ascii="黑体" w:hAnsi="黑体" w:eastAsia="黑体" w:cs="Arial"/>
          <w:b w:val="0"/>
          <w:sz w:val="32"/>
          <w:szCs w:val="32"/>
        </w:rPr>
        <w:t>国务院关于完善大中型水库移民后期扶持政策的意见</w:t>
      </w:r>
    </w:p>
    <w:p w14:paraId="5766D4AC">
      <w:pPr>
        <w:shd w:val="clear" w:color="auto" w:fill="FFFFFF"/>
        <w:spacing w:line="360" w:lineRule="atLeast"/>
        <w:ind w:firstLine="480"/>
        <w:rPr>
          <w:rFonts w:ascii="Arial" w:hAnsi="Arial" w:cs="Arial"/>
          <w:color w:val="333333"/>
          <w:szCs w:val="21"/>
        </w:rPr>
      </w:pPr>
      <w:r>
        <w:rPr>
          <w:rFonts w:ascii="Arial" w:hAnsi="Arial" w:cs="Arial"/>
          <w:b/>
          <w:bCs/>
          <w:color w:val="333333"/>
          <w:szCs w:val="21"/>
        </w:rPr>
        <w:t>一、完善后期扶持政策的指导思想、目标和原则</w:t>
      </w:r>
    </w:p>
    <w:p w14:paraId="3AD68E99">
      <w:pPr>
        <w:shd w:val="clear" w:color="auto" w:fill="FFFFFF"/>
        <w:spacing w:line="360" w:lineRule="atLeast"/>
        <w:ind w:firstLine="480"/>
        <w:rPr>
          <w:rFonts w:ascii="Arial" w:hAnsi="Arial" w:cs="Arial"/>
          <w:color w:val="333333"/>
          <w:szCs w:val="21"/>
        </w:rPr>
      </w:pPr>
      <w:r>
        <w:rPr>
          <w:rFonts w:ascii="Arial" w:hAnsi="Arial" w:cs="Arial"/>
          <w:color w:val="333333"/>
          <w:szCs w:val="21"/>
        </w:rPr>
        <w:t>（一）指导思想。以</w:t>
      </w:r>
      <w:r>
        <w:fldChar w:fldCharType="begin"/>
      </w:r>
      <w:r>
        <w:instrText xml:space="preserve"> HYPERLINK "https://baike.baidu.com/item/%E9%82%93%E5%B0%8F%E5%B9%B3%E7%90%86%E8%AE%BA" \t "_blank" </w:instrText>
      </w:r>
      <w:r>
        <w:fldChar w:fldCharType="separate"/>
      </w:r>
      <w:r>
        <w:rPr>
          <w:rFonts w:ascii="Arial" w:hAnsi="Arial" w:cs="Arial"/>
          <w:szCs w:val="21"/>
        </w:rPr>
        <w:t>邓小平理论</w:t>
      </w:r>
      <w:r>
        <w:rPr>
          <w:rFonts w:ascii="Arial" w:hAnsi="Arial" w:cs="Arial"/>
          <w:szCs w:val="21"/>
        </w:rPr>
        <w:fldChar w:fldCharType="end"/>
      </w:r>
      <w:r>
        <w:rPr>
          <w:rFonts w:ascii="Arial" w:hAnsi="Arial" w:cs="Arial"/>
          <w:szCs w:val="21"/>
        </w:rPr>
        <w:t>和“</w:t>
      </w:r>
      <w:r>
        <w:fldChar w:fldCharType="begin"/>
      </w:r>
      <w:r>
        <w:instrText xml:space="preserve"> HYPERLINK "https://baike.baidu.com/item/%E4%B8%89%E4%B8%AA%E4%BB%A3%E8%A1%A8" \t "_blank" </w:instrText>
      </w:r>
      <w:r>
        <w:fldChar w:fldCharType="separate"/>
      </w:r>
      <w:r>
        <w:rPr>
          <w:rFonts w:ascii="Arial" w:hAnsi="Arial" w:cs="Arial"/>
          <w:szCs w:val="21"/>
        </w:rPr>
        <w:t>三个代表</w:t>
      </w:r>
      <w:r>
        <w:rPr>
          <w:rFonts w:ascii="Arial" w:hAnsi="Arial" w:cs="Arial"/>
          <w:szCs w:val="21"/>
        </w:rPr>
        <w:fldChar w:fldCharType="end"/>
      </w:r>
      <w:r>
        <w:rPr>
          <w:rFonts w:ascii="Arial" w:hAnsi="Arial" w:cs="Arial"/>
          <w:szCs w:val="21"/>
        </w:rPr>
        <w:t>”重要思想为指导，坚持以人为本，全面贯彻落实</w:t>
      </w:r>
      <w:r>
        <w:fldChar w:fldCharType="begin"/>
      </w:r>
      <w:r>
        <w:instrText xml:space="preserve"> HYPERLINK "https://baike.baidu.com/item/%E7%A7%91%E5%AD%A6%E5%8F%91%E5%B1%95%E8%A7%82" \t "_blank" </w:instrText>
      </w:r>
      <w:r>
        <w:fldChar w:fldCharType="separate"/>
      </w:r>
      <w:r>
        <w:rPr>
          <w:rFonts w:ascii="Arial" w:hAnsi="Arial" w:cs="Arial"/>
          <w:szCs w:val="21"/>
        </w:rPr>
        <w:t>科学发展观</w:t>
      </w:r>
      <w:r>
        <w:rPr>
          <w:rFonts w:ascii="Arial" w:hAnsi="Arial" w:cs="Arial"/>
          <w:szCs w:val="21"/>
        </w:rPr>
        <w:fldChar w:fldCharType="end"/>
      </w:r>
      <w:r>
        <w:rPr>
          <w:rFonts w:ascii="Arial" w:hAnsi="Arial" w:cs="Arial"/>
          <w:szCs w:val="21"/>
        </w:rPr>
        <w:t>，做到工程建设、移</w:t>
      </w:r>
      <w:r>
        <w:rPr>
          <w:rFonts w:ascii="Arial" w:hAnsi="Arial" w:cs="Arial"/>
          <w:color w:val="333333"/>
          <w:szCs w:val="21"/>
        </w:rPr>
        <w:t>民安置与生态保护并重，继续按照开发性移民的方针，完善扶持方式，加大扶持力度，改善移民生产生活条件，逐步建立促进库区经济发展、水库移民增收、生态环境改善、农村社会稳定的长效机制，使水库移民共享改革发展成果，实现库区和移民安置区经济社会可持续发展。</w:t>
      </w:r>
    </w:p>
    <w:p w14:paraId="6DEE4AC4">
      <w:pPr>
        <w:shd w:val="clear" w:color="auto" w:fill="FFFFFF"/>
        <w:spacing w:line="360" w:lineRule="atLeast"/>
        <w:ind w:firstLine="480"/>
        <w:rPr>
          <w:rFonts w:ascii="Arial" w:hAnsi="Arial" w:cs="Arial"/>
          <w:color w:val="333333"/>
          <w:szCs w:val="21"/>
        </w:rPr>
      </w:pPr>
      <w:r>
        <w:rPr>
          <w:rFonts w:ascii="Arial" w:hAnsi="Arial" w:cs="Arial"/>
          <w:color w:val="333333"/>
          <w:szCs w:val="21"/>
        </w:rPr>
        <w:t>（二）目标。近期目标是，解决水库移民的温饱问题以及库区和移民安置区基础设施薄弱的突出问题；中长期目标是，加强库区和移民安置区基础设施和生态环境建设，改善移民生产生活条件，促进经济发展，增加移民收入，使移民生活水平不断提高，逐步达到当地农村平均水平。</w:t>
      </w:r>
    </w:p>
    <w:p w14:paraId="74349C6C">
      <w:pPr>
        <w:shd w:val="clear" w:color="auto" w:fill="FFFFFF"/>
        <w:spacing w:line="360" w:lineRule="atLeast"/>
        <w:ind w:firstLine="480"/>
        <w:rPr>
          <w:rFonts w:ascii="Arial" w:hAnsi="Arial" w:cs="Arial"/>
          <w:color w:val="333333"/>
          <w:szCs w:val="21"/>
        </w:rPr>
      </w:pPr>
      <w:r>
        <w:rPr>
          <w:rFonts w:ascii="Arial" w:hAnsi="Arial" w:cs="Arial"/>
          <w:color w:val="333333"/>
          <w:szCs w:val="21"/>
        </w:rPr>
        <w:t>（三）原则。</w:t>
      </w:r>
    </w:p>
    <w:p w14:paraId="704ABF2E">
      <w:pPr>
        <w:shd w:val="clear" w:color="auto" w:fill="FFFFFF"/>
        <w:spacing w:line="360" w:lineRule="atLeast"/>
        <w:ind w:firstLine="480"/>
        <w:rPr>
          <w:rFonts w:ascii="Arial" w:hAnsi="Arial" w:cs="Arial"/>
          <w:color w:val="333333"/>
          <w:szCs w:val="21"/>
        </w:rPr>
      </w:pPr>
      <w:r>
        <w:rPr>
          <w:rFonts w:ascii="Arial" w:hAnsi="Arial" w:cs="Arial"/>
          <w:color w:val="333333"/>
          <w:szCs w:val="21"/>
        </w:rPr>
        <w:t>——坚持统筹兼顾水电和水利移民、新水库和老水库移民、中央水库和地方水库移民。</w:t>
      </w:r>
    </w:p>
    <w:p w14:paraId="40DBD3E8">
      <w:pPr>
        <w:shd w:val="clear" w:color="auto" w:fill="FFFFFF"/>
        <w:spacing w:line="360" w:lineRule="atLeast"/>
        <w:ind w:firstLine="480"/>
        <w:rPr>
          <w:rFonts w:ascii="Arial" w:hAnsi="Arial" w:cs="Arial"/>
          <w:color w:val="333333"/>
          <w:szCs w:val="21"/>
        </w:rPr>
      </w:pPr>
      <w:r>
        <w:rPr>
          <w:rFonts w:ascii="Arial" w:hAnsi="Arial" w:cs="Arial"/>
          <w:color w:val="333333"/>
          <w:szCs w:val="21"/>
        </w:rPr>
        <w:t>——坚持前期补偿补助与后期扶持相结合。</w:t>
      </w:r>
    </w:p>
    <w:p w14:paraId="12FD572E">
      <w:pPr>
        <w:shd w:val="clear" w:color="auto" w:fill="FFFFFF"/>
        <w:spacing w:line="360" w:lineRule="atLeast"/>
        <w:ind w:firstLine="480"/>
        <w:rPr>
          <w:rFonts w:ascii="Arial" w:hAnsi="Arial" w:cs="Arial"/>
          <w:color w:val="333333"/>
          <w:szCs w:val="21"/>
        </w:rPr>
      </w:pPr>
      <w:r>
        <w:rPr>
          <w:rFonts w:ascii="Arial" w:hAnsi="Arial" w:cs="Arial"/>
          <w:color w:val="333333"/>
          <w:szCs w:val="21"/>
        </w:rPr>
        <w:t>——坚持解决温饱问题与解决长远发展问题相结合。</w:t>
      </w:r>
    </w:p>
    <w:p w14:paraId="169FC36E">
      <w:pPr>
        <w:shd w:val="clear" w:color="auto" w:fill="FFFFFF"/>
        <w:spacing w:line="360" w:lineRule="atLeast"/>
        <w:ind w:firstLine="480"/>
        <w:rPr>
          <w:rFonts w:ascii="Arial" w:hAnsi="Arial" w:cs="Arial"/>
          <w:color w:val="333333"/>
          <w:szCs w:val="21"/>
        </w:rPr>
      </w:pPr>
      <w:r>
        <w:rPr>
          <w:rFonts w:ascii="Arial" w:hAnsi="Arial" w:cs="Arial"/>
          <w:color w:val="333333"/>
          <w:szCs w:val="21"/>
        </w:rPr>
        <w:t>——坚持国家帮扶与移民自力更生相结合。</w:t>
      </w:r>
    </w:p>
    <w:p w14:paraId="00C0AA1B">
      <w:pPr>
        <w:shd w:val="clear" w:color="auto" w:fill="FFFFFF"/>
        <w:spacing w:line="360" w:lineRule="atLeast"/>
        <w:ind w:firstLine="480"/>
        <w:rPr>
          <w:rFonts w:ascii="Arial" w:hAnsi="Arial" w:cs="Arial"/>
          <w:color w:val="333333"/>
          <w:szCs w:val="21"/>
        </w:rPr>
      </w:pPr>
      <w:r>
        <w:rPr>
          <w:rFonts w:ascii="Arial" w:hAnsi="Arial" w:cs="Arial"/>
          <w:color w:val="333333"/>
          <w:szCs w:val="21"/>
        </w:rPr>
        <w:t>——坚持中央统一制定政策，省级人民政府负总责。</w:t>
      </w:r>
      <w:r>
        <w:rPr>
          <w:rFonts w:ascii="Arial" w:hAnsi="Arial" w:cs="Arial"/>
          <w:color w:val="3366CC"/>
          <w:sz w:val="16"/>
          <w:szCs w:val="16"/>
          <w:vertAlign w:val="superscript"/>
        </w:rPr>
        <w:t>[1]</w:t>
      </w:r>
      <w:r>
        <w:rPr>
          <w:rFonts w:ascii="Arial" w:hAnsi="Arial" w:cs="Arial"/>
          <w:color w:val="136EC2"/>
          <w:sz w:val="2"/>
          <w:szCs w:val="2"/>
        </w:rPr>
        <w:t> </w:t>
      </w:r>
      <w:r>
        <w:rPr>
          <w:rFonts w:ascii="Arial" w:hAnsi="Arial" w:cs="Arial"/>
          <w:color w:val="333333"/>
          <w:szCs w:val="21"/>
        </w:rPr>
        <w:t xml:space="preserve"> </w:t>
      </w:r>
    </w:p>
    <w:p w14:paraId="4C2C21FF">
      <w:pPr>
        <w:shd w:val="clear" w:color="auto" w:fill="FFFFFF"/>
        <w:spacing w:line="360" w:lineRule="atLeast"/>
        <w:ind w:firstLine="480"/>
        <w:rPr>
          <w:rFonts w:ascii="Arial" w:hAnsi="Arial" w:cs="Arial"/>
          <w:color w:val="333333"/>
          <w:szCs w:val="21"/>
        </w:rPr>
      </w:pPr>
      <w:r>
        <w:rPr>
          <w:rFonts w:ascii="Arial" w:hAnsi="Arial" w:cs="Arial"/>
          <w:b/>
          <w:bCs/>
          <w:color w:val="333333"/>
          <w:szCs w:val="21"/>
        </w:rPr>
        <w:t>二、完善政策，提高移民后期扶持标准</w:t>
      </w:r>
    </w:p>
    <w:p w14:paraId="13D5DEA7">
      <w:pPr>
        <w:shd w:val="clear" w:color="auto" w:fill="FFFFFF"/>
        <w:spacing w:line="360" w:lineRule="atLeast"/>
        <w:ind w:firstLine="480"/>
        <w:rPr>
          <w:rFonts w:ascii="Arial" w:hAnsi="Arial" w:cs="Arial"/>
          <w:color w:val="333333"/>
          <w:szCs w:val="21"/>
        </w:rPr>
      </w:pPr>
      <w:r>
        <w:rPr>
          <w:rFonts w:ascii="Arial" w:hAnsi="Arial" w:cs="Arial"/>
          <w:color w:val="333333"/>
          <w:szCs w:val="21"/>
        </w:rPr>
        <w:t>（四）扶持范围。后期扶持范围为大中型水库的农村移民。其中，2006年6月30日前搬迁的水库移民为现状人口，2006年7月1日以后搬迁的水库移民为原迁人口。在扶持期内，中央对各省、自治区、直辖市2006年6月30日前已搬迁的水库移民现状人口一次核定，不再调整；对移民人口的自然变化采取何种具体政策，由各省、自治区、直辖市自行决定，转为非农业户口的农村移民不再纳入后期扶持范围。</w:t>
      </w:r>
    </w:p>
    <w:p w14:paraId="1F700AF0">
      <w:pPr>
        <w:shd w:val="clear" w:color="auto" w:fill="FFFFFF"/>
        <w:spacing w:line="360" w:lineRule="atLeast"/>
        <w:ind w:firstLine="480"/>
        <w:rPr>
          <w:rFonts w:ascii="Arial" w:hAnsi="Arial" w:cs="Arial"/>
          <w:color w:val="333333"/>
          <w:szCs w:val="21"/>
        </w:rPr>
      </w:pPr>
      <w:r>
        <w:rPr>
          <w:rFonts w:ascii="Arial" w:hAnsi="Arial" w:cs="Arial"/>
          <w:color w:val="333333"/>
          <w:szCs w:val="21"/>
        </w:rPr>
        <w:t>（五）扶持标准。对纳入扶持范围的移民每人每年补助600元。</w:t>
      </w:r>
    </w:p>
    <w:p w14:paraId="7ACC9EF9">
      <w:pPr>
        <w:shd w:val="clear" w:color="auto" w:fill="FFFFFF"/>
        <w:spacing w:line="360" w:lineRule="atLeast"/>
        <w:ind w:firstLine="480"/>
        <w:rPr>
          <w:rFonts w:ascii="Arial" w:hAnsi="Arial" w:cs="Arial"/>
          <w:color w:val="333333"/>
          <w:szCs w:val="21"/>
        </w:rPr>
      </w:pPr>
      <w:r>
        <w:rPr>
          <w:rFonts w:ascii="Arial" w:hAnsi="Arial" w:cs="Arial"/>
          <w:color w:val="333333"/>
          <w:szCs w:val="21"/>
        </w:rPr>
        <w:t>（六）扶持期限。对2006年6月30日前搬迁的纳入扶持范围的移民，自2006年7月1日起再扶持20年；对2006年7月1日以后搬迁的纳入扶持范围的移民，从其完成搬迁之日起扶持20年。</w:t>
      </w:r>
    </w:p>
    <w:p w14:paraId="142DA9A4">
      <w:pPr>
        <w:shd w:val="clear" w:color="auto" w:fill="FFFFFF"/>
        <w:spacing w:line="360" w:lineRule="atLeast"/>
        <w:ind w:firstLine="480"/>
        <w:rPr>
          <w:rFonts w:ascii="Arial" w:hAnsi="Arial" w:cs="Arial"/>
          <w:color w:val="333333"/>
          <w:szCs w:val="21"/>
        </w:rPr>
      </w:pPr>
      <w:r>
        <w:rPr>
          <w:rFonts w:ascii="Arial" w:hAnsi="Arial" w:cs="Arial"/>
          <w:color w:val="333333"/>
          <w:szCs w:val="21"/>
        </w:rPr>
        <w:t>（七）扶持方式。后期扶持资金能够直接发放给移民个人的应尽量发放到移民个人，用于移民生产生活补助；也可以实行项目扶持，用于解决移民村群众生产生活中存在的突出问题；还可以采取两者结合的方式。具体方式由地方各级人民政府在充分尊重移民意愿并听取移民村群众意见的基础上确定，并编制切实可行的水库移民后期扶持规划。采取直接发放给移民个人方式的，要核实到人、建立档案、设立账户，及时足额将后期扶持资金发放到户；采取项目扶持方式的，可以统筹使用资金，但项目的确定要经绝大多数移民同意，资金的使用与管理要公开透明，接受移民监督，严禁截留挪用。</w:t>
      </w:r>
    </w:p>
    <w:p w14:paraId="1D071D13">
      <w:pPr>
        <w:shd w:val="clear" w:color="auto" w:fill="FFFFFF"/>
        <w:spacing w:line="360" w:lineRule="atLeast"/>
        <w:ind w:firstLine="480"/>
        <w:rPr>
          <w:rFonts w:ascii="Arial" w:hAnsi="Arial" w:cs="Arial"/>
          <w:color w:val="333333"/>
          <w:szCs w:val="21"/>
        </w:rPr>
      </w:pPr>
      <w:r>
        <w:rPr>
          <w:rFonts w:ascii="Arial" w:hAnsi="Arial" w:cs="Arial"/>
          <w:color w:val="333333"/>
          <w:szCs w:val="21"/>
        </w:rPr>
        <w:t>（八）扶持资金筹集。要坚持全国统筹、分省（区、市）核算，企业、社会、中央与地方政府合理负担，工业反哺农业、城市支持农村，东部地区支持中西部地区的原则。</w:t>
      </w:r>
    </w:p>
    <w:p w14:paraId="5088134F">
      <w:pPr>
        <w:shd w:val="clear" w:color="auto" w:fill="FFFFFF"/>
        <w:spacing w:line="360" w:lineRule="atLeast"/>
        <w:ind w:firstLine="480"/>
        <w:rPr>
          <w:rFonts w:ascii="Arial" w:hAnsi="Arial" w:cs="Arial"/>
          <w:color w:val="333333"/>
          <w:szCs w:val="21"/>
        </w:rPr>
      </w:pPr>
      <w:r>
        <w:rPr>
          <w:rFonts w:ascii="Arial" w:hAnsi="Arial" w:cs="Arial"/>
          <w:color w:val="333333"/>
          <w:szCs w:val="21"/>
        </w:rPr>
        <w:t>水库移民后期扶持资金由国家统一筹措：</w:t>
      </w:r>
    </w:p>
    <w:p w14:paraId="4CD5256D">
      <w:pPr>
        <w:shd w:val="clear" w:color="auto" w:fill="FFFFFF"/>
        <w:spacing w:line="360" w:lineRule="atLeast"/>
        <w:ind w:firstLine="480"/>
        <w:rPr>
          <w:rFonts w:ascii="Arial" w:hAnsi="Arial" w:cs="Arial"/>
          <w:color w:val="333333"/>
          <w:szCs w:val="21"/>
        </w:rPr>
      </w:pPr>
      <w:r>
        <w:rPr>
          <w:rFonts w:ascii="Arial" w:hAnsi="Arial" w:cs="Arial"/>
          <w:color w:val="333333"/>
          <w:szCs w:val="21"/>
        </w:rPr>
        <w:t>（1）提高省级电网公司在本省（区、市）区域内全部销售电量（扣除农业生产用电）的电价，提价收入专项用于水库移民后期扶持。为了减轻中西部地区的负担，移民人数较少的河北、山西、内蒙古、吉林、黑龙江、贵州、云南、西藏、甘肃、青海、宁夏、新疆12个省（区）的电价加价标准根据本省（区）的移民人数一次核定，原则上不再调整；如上述12个省（区）2006年7月1日以后搬迁的纳入扶持范围的水库移民所需后期扶持资金出现缺口，由中央统筹解决；其他19个省（区、市）实行统一的电价加价。</w:t>
      </w:r>
    </w:p>
    <w:p w14:paraId="54ABF461">
      <w:pPr>
        <w:shd w:val="clear" w:color="auto" w:fill="FFFFFF"/>
        <w:spacing w:line="360" w:lineRule="atLeast"/>
        <w:ind w:firstLine="480"/>
        <w:rPr>
          <w:rFonts w:ascii="Arial" w:hAnsi="Arial" w:cs="Arial"/>
          <w:color w:val="333333"/>
          <w:szCs w:val="21"/>
        </w:rPr>
      </w:pPr>
      <w:r>
        <w:rPr>
          <w:rFonts w:ascii="Arial" w:hAnsi="Arial" w:cs="Arial"/>
          <w:color w:val="333333"/>
          <w:szCs w:val="21"/>
        </w:rPr>
        <w:t>（2）提高电价形成的增值税增收部分专项用于水库移民后期扶持。</w:t>
      </w:r>
    </w:p>
    <w:p w14:paraId="49E78AE8">
      <w:pPr>
        <w:shd w:val="clear" w:color="auto" w:fill="FFFFFF"/>
        <w:spacing w:line="360" w:lineRule="atLeast"/>
        <w:ind w:firstLine="480"/>
        <w:rPr>
          <w:rFonts w:ascii="Arial" w:hAnsi="Arial" w:cs="Arial"/>
          <w:color w:val="333333"/>
          <w:szCs w:val="21"/>
        </w:rPr>
      </w:pPr>
      <w:r>
        <w:rPr>
          <w:rFonts w:ascii="Arial" w:hAnsi="Arial" w:cs="Arial"/>
          <w:color w:val="333333"/>
          <w:szCs w:val="21"/>
        </w:rPr>
        <w:t>（3）继续保留中央财政每年安排用于解决中央直属水库移民遗留问题的资金。</w:t>
      </w:r>
    </w:p>
    <w:p w14:paraId="2D4CE376">
      <w:pPr>
        <w:shd w:val="clear" w:color="auto" w:fill="FFFFFF"/>
        <w:spacing w:line="360" w:lineRule="atLeast"/>
        <w:ind w:firstLine="480"/>
        <w:rPr>
          <w:rFonts w:ascii="Arial" w:hAnsi="Arial" w:cs="Arial"/>
          <w:color w:val="333333"/>
          <w:szCs w:val="21"/>
        </w:rPr>
      </w:pPr>
      <w:r>
        <w:rPr>
          <w:rFonts w:ascii="Arial" w:hAnsi="Arial" w:cs="Arial"/>
          <w:color w:val="333333"/>
          <w:szCs w:val="21"/>
        </w:rPr>
        <w:t>（4）经营性大中型水库也应承担移民后期扶持资金，具体办法由发展改革委会同财政部、水利部另行制定。</w:t>
      </w:r>
    </w:p>
    <w:p w14:paraId="15175CB4">
      <w:pPr>
        <w:shd w:val="clear" w:color="auto" w:fill="FFFFFF"/>
        <w:spacing w:line="360" w:lineRule="atLeast"/>
        <w:ind w:firstLine="480"/>
        <w:rPr>
          <w:rFonts w:ascii="Arial" w:hAnsi="Arial" w:cs="Arial"/>
          <w:color w:val="333333"/>
          <w:szCs w:val="21"/>
        </w:rPr>
      </w:pPr>
      <w:r>
        <w:rPr>
          <w:rFonts w:ascii="Arial" w:hAnsi="Arial" w:cs="Arial"/>
          <w:color w:val="333333"/>
          <w:szCs w:val="21"/>
        </w:rPr>
        <w:t>（九）扶持资金管理。后期扶持资金作为政府性基金纳入中央财政预算管理。通过电价加价筹措的后期扶持资金由各省级电网公司随电费征收，全额上缴中央财政；应拨付给各省、自治区、直辖市的后期扶持资金由财政部会同国务院移民管理机构，按照发展改革委、财政部、水利部等部门核定的各省、自治区、直辖市移民人数和规定的标准据实拨付。后期扶持基金征收使用管理办法由财政部会同发展改革委、水利部和国务院移民管理机构等部门另行制定。</w:t>
      </w:r>
    </w:p>
    <w:p w14:paraId="10E4037F">
      <w:pPr>
        <w:shd w:val="clear" w:color="auto" w:fill="FFFFFF"/>
        <w:spacing w:line="360" w:lineRule="atLeast"/>
        <w:ind w:firstLine="480"/>
        <w:rPr>
          <w:rFonts w:ascii="Arial" w:hAnsi="Arial" w:cs="Arial"/>
          <w:color w:val="333333"/>
          <w:szCs w:val="21"/>
        </w:rPr>
      </w:pPr>
      <w:r>
        <w:rPr>
          <w:rFonts w:ascii="Arial" w:hAnsi="Arial" w:cs="Arial"/>
          <w:color w:val="333333"/>
          <w:szCs w:val="21"/>
        </w:rPr>
        <w:t>（十）现行水库移民扶持基金的处理。现行的库区建设基金并入完善后的水库移民后期扶持资金；现行的库区后期扶持基金并入库区维护基金，并相应调整和完善库区维护基金的征收、使用和管理，具体办法由财政部会同发展改革委、水利部另行制定。自完善后的水库移民后期扶持政策实施之日起，现行关于征收库区建设基金和后期扶持基金的政策即行废止，各地自行批准向水利、水电和电网企业征收的涉及水库移民的各种基金、资金一律停止收取。</w:t>
      </w:r>
      <w:r>
        <w:rPr>
          <w:rFonts w:ascii="Arial" w:hAnsi="Arial" w:cs="Arial"/>
          <w:color w:val="3366CC"/>
          <w:sz w:val="16"/>
          <w:szCs w:val="16"/>
          <w:vertAlign w:val="superscript"/>
        </w:rPr>
        <w:t>[1]</w:t>
      </w:r>
      <w:r>
        <w:rPr>
          <w:rFonts w:ascii="Arial" w:hAnsi="Arial" w:cs="Arial"/>
          <w:color w:val="136EC2"/>
          <w:sz w:val="2"/>
          <w:szCs w:val="2"/>
        </w:rPr>
        <w:t> </w:t>
      </w:r>
      <w:r>
        <w:rPr>
          <w:rFonts w:ascii="Arial" w:hAnsi="Arial" w:cs="Arial"/>
          <w:color w:val="333333"/>
          <w:szCs w:val="21"/>
        </w:rPr>
        <w:t xml:space="preserve"> </w:t>
      </w:r>
    </w:p>
    <w:p w14:paraId="49F83E04">
      <w:pPr>
        <w:shd w:val="clear" w:color="auto" w:fill="FFFFFF"/>
        <w:spacing w:line="360" w:lineRule="atLeast"/>
        <w:ind w:firstLine="480"/>
        <w:rPr>
          <w:rFonts w:ascii="Arial" w:hAnsi="Arial" w:cs="Arial"/>
          <w:color w:val="333333"/>
          <w:szCs w:val="21"/>
        </w:rPr>
      </w:pPr>
      <w:r>
        <w:rPr>
          <w:rFonts w:ascii="Arial" w:hAnsi="Arial" w:cs="Arial"/>
          <w:b/>
          <w:bCs/>
          <w:color w:val="333333"/>
          <w:szCs w:val="21"/>
        </w:rPr>
        <w:t>三、统筹兼顾，安排好其他移民和征地拆迁人口的生产生活</w:t>
      </w:r>
    </w:p>
    <w:p w14:paraId="38A617E7">
      <w:pPr>
        <w:shd w:val="clear" w:color="auto" w:fill="FFFFFF"/>
        <w:spacing w:line="360" w:lineRule="atLeast"/>
        <w:ind w:firstLine="480"/>
        <w:rPr>
          <w:rFonts w:ascii="Arial" w:hAnsi="Arial" w:cs="Arial"/>
          <w:color w:val="333333"/>
          <w:szCs w:val="21"/>
        </w:rPr>
      </w:pPr>
      <w:r>
        <w:rPr>
          <w:rFonts w:ascii="Arial" w:hAnsi="Arial" w:cs="Arial"/>
          <w:color w:val="333333"/>
          <w:szCs w:val="21"/>
        </w:rPr>
        <w:t>（十一）做好大中型水库非农业安置移民工作。各省、自治区、直辖市要进一步完善城镇最低生活保障制度，把符合条件的大中型水库非农业安置移民中的困难家庭，纳入地方城镇最低生活保障范围，切实做到应保尽保；同时，要积极通过其他渠道进行帮扶，努力改善他们的生活条件。三峡工程的移民工作，依照《长江三峡工程建设移民条例》办理。</w:t>
      </w:r>
    </w:p>
    <w:p w14:paraId="440BFDAB">
      <w:pPr>
        <w:shd w:val="clear" w:color="auto" w:fill="FFFFFF"/>
        <w:spacing w:line="360" w:lineRule="atLeast"/>
        <w:ind w:firstLine="480"/>
        <w:rPr>
          <w:rFonts w:ascii="Arial" w:hAnsi="Arial" w:cs="Arial"/>
          <w:color w:val="333333"/>
          <w:szCs w:val="21"/>
        </w:rPr>
      </w:pPr>
      <w:r>
        <w:rPr>
          <w:rFonts w:ascii="Arial" w:hAnsi="Arial" w:cs="Arial"/>
          <w:color w:val="333333"/>
          <w:szCs w:val="21"/>
        </w:rPr>
        <w:t>（十二）妥善解决小型水库移民的困难和现有后期扶持项目续建问题。各省、自治区、直辖市人民政府可通过提高本省（区、市）区域内全部销售电量（扣除农业生产用电）的电价筹集资金，统筹解决小型水库移民的困难，并保证对在建后期扶持项目的后续资金投入，确保项目按期建成并发挥作用。提价标准为每千瓦时不超过0.5厘，具体方案报发展改革委、财政部审批后实施。</w:t>
      </w:r>
    </w:p>
    <w:p w14:paraId="4736FE44">
      <w:pPr>
        <w:shd w:val="clear" w:color="auto" w:fill="FFFFFF"/>
        <w:spacing w:line="360" w:lineRule="atLeast"/>
        <w:ind w:firstLine="480"/>
        <w:rPr>
          <w:rFonts w:ascii="Arial" w:hAnsi="Arial" w:cs="Arial"/>
          <w:color w:val="333333"/>
          <w:szCs w:val="21"/>
        </w:rPr>
      </w:pPr>
      <w:r>
        <w:rPr>
          <w:rFonts w:ascii="Arial" w:hAnsi="Arial" w:cs="Arial"/>
          <w:color w:val="333333"/>
          <w:szCs w:val="21"/>
        </w:rPr>
        <w:t>（十三）切实做好其他征地拆迁人口的工作。完善水库移民后期扶持政策可能对其他征地拆迁人口产生影响，地方各级人民政府要高度重视，密切关注，做好宣传解释工作，并采取多种措施，及时解决他们生产生活中遇到的实际困难，妥善化解矛盾，维护社会稳定。</w:t>
      </w:r>
      <w:r>
        <w:rPr>
          <w:rFonts w:ascii="Arial" w:hAnsi="Arial" w:cs="Arial"/>
          <w:color w:val="3366CC"/>
          <w:sz w:val="16"/>
          <w:szCs w:val="16"/>
          <w:vertAlign w:val="superscript"/>
        </w:rPr>
        <w:t>[1]</w:t>
      </w:r>
      <w:r>
        <w:rPr>
          <w:rFonts w:ascii="Arial" w:hAnsi="Arial" w:cs="Arial"/>
          <w:color w:val="136EC2"/>
          <w:sz w:val="2"/>
          <w:szCs w:val="2"/>
        </w:rPr>
        <w:t> </w:t>
      </w:r>
      <w:r>
        <w:rPr>
          <w:rFonts w:ascii="Arial" w:hAnsi="Arial" w:cs="Arial"/>
          <w:color w:val="333333"/>
          <w:szCs w:val="21"/>
        </w:rPr>
        <w:t xml:space="preserve"> </w:t>
      </w:r>
    </w:p>
    <w:p w14:paraId="249442EE">
      <w:pPr>
        <w:shd w:val="clear" w:color="auto" w:fill="FFFFFF"/>
        <w:spacing w:line="360" w:lineRule="atLeast"/>
        <w:ind w:firstLine="480"/>
        <w:rPr>
          <w:rFonts w:ascii="Arial" w:hAnsi="Arial" w:cs="Arial"/>
          <w:color w:val="333333"/>
          <w:szCs w:val="21"/>
        </w:rPr>
      </w:pPr>
      <w:r>
        <w:rPr>
          <w:rFonts w:ascii="Arial" w:hAnsi="Arial" w:cs="Arial"/>
          <w:b/>
          <w:bCs/>
          <w:color w:val="333333"/>
          <w:szCs w:val="21"/>
        </w:rPr>
        <w:t>四、加大投入，促进库区和移民安置区长远发展</w:t>
      </w:r>
    </w:p>
    <w:p w14:paraId="47DC402E">
      <w:pPr>
        <w:shd w:val="clear" w:color="auto" w:fill="FFFFFF"/>
        <w:spacing w:line="360" w:lineRule="atLeast"/>
        <w:ind w:firstLine="480"/>
        <w:rPr>
          <w:rFonts w:ascii="Arial" w:hAnsi="Arial" w:cs="Arial"/>
          <w:color w:val="333333"/>
          <w:szCs w:val="21"/>
        </w:rPr>
      </w:pPr>
      <w:r>
        <w:rPr>
          <w:rFonts w:ascii="Arial" w:hAnsi="Arial" w:cs="Arial"/>
          <w:color w:val="333333"/>
          <w:szCs w:val="21"/>
        </w:rPr>
        <w:t>（十四）明确扶持重点。在提高后期扶持标准帮助解决水库移民温饱问题的同时，要继续从其他渠道积极筹措资金，加大扶持力度，解决库区和移民安置区长远发展问题，重点加强基本口粮田及配套水利设施建设，加强交通、供电、通信和社会事业等方面的基础设施建设，加强生态建设、环境保护，加强移民劳动力就业技能培训和职业教育，通过贴息贷款、投资补助等方式对移民能够直接受益的生产开发项目给予支持。</w:t>
      </w:r>
    </w:p>
    <w:p w14:paraId="1F1840CA">
      <w:pPr>
        <w:shd w:val="clear" w:color="auto" w:fill="FFFFFF"/>
        <w:spacing w:line="360" w:lineRule="atLeast"/>
        <w:ind w:firstLine="480"/>
        <w:rPr>
          <w:rFonts w:ascii="Arial" w:hAnsi="Arial" w:cs="Arial"/>
          <w:color w:val="333333"/>
          <w:szCs w:val="21"/>
        </w:rPr>
      </w:pPr>
      <w:r>
        <w:rPr>
          <w:rFonts w:ascii="Arial" w:hAnsi="Arial" w:cs="Arial"/>
          <w:color w:val="333333"/>
          <w:szCs w:val="21"/>
        </w:rPr>
        <w:t>（十五）落实扶持资金。一是现有政府性资金，包括预算内投资和国债资金、扶贫资金、农业综合开发资金以及政府部门安排的各类建设基金和专项资金，要向库区和移民安置区倾斜；二是从筹集的后期扶持资金结余中安排，用于对库区和移民安置区的扶持，具体办法由财政部、发展改革委会同水利部等部门另行制定；三是从调整和完善后的库区维护基金中筹集。同时，地方各级人民政府要加大资金投入，鼓励社会捐助和企业对口帮扶，努力拓宽资金渠道。</w:t>
      </w:r>
    </w:p>
    <w:p w14:paraId="0AB62596">
      <w:pPr>
        <w:shd w:val="clear" w:color="auto" w:fill="FFFFFF"/>
        <w:spacing w:line="360" w:lineRule="atLeast"/>
        <w:ind w:firstLine="480"/>
        <w:rPr>
          <w:rFonts w:ascii="Arial" w:hAnsi="Arial" w:cs="Arial"/>
          <w:color w:val="333333"/>
          <w:szCs w:val="21"/>
        </w:rPr>
      </w:pPr>
      <w:r>
        <w:rPr>
          <w:rFonts w:ascii="Arial" w:hAnsi="Arial" w:cs="Arial"/>
          <w:color w:val="333333"/>
          <w:szCs w:val="21"/>
        </w:rPr>
        <w:t>（十六）做好项目规划。要以水库移民村为基本单元，按照优先解决突出问题的原则，抓紧编制库区和移民安置区基础设施建设和经济发展规划，作为国家安排扶持资金和项目的前提与依据。项目的确定要坚持民主程序，尊重和维护移民群众的知情权、参与权和监督权。</w:t>
      </w:r>
      <w:r>
        <w:rPr>
          <w:rFonts w:ascii="Arial" w:hAnsi="Arial" w:cs="Arial"/>
          <w:color w:val="3366CC"/>
          <w:sz w:val="16"/>
          <w:szCs w:val="16"/>
          <w:vertAlign w:val="superscript"/>
        </w:rPr>
        <w:t>[1]</w:t>
      </w:r>
      <w:bookmarkStart w:id="3" w:name="ref_[1]_17067608"/>
      <w:r>
        <w:rPr>
          <w:rFonts w:ascii="Arial" w:hAnsi="Arial" w:cs="Arial"/>
          <w:color w:val="136EC2"/>
          <w:sz w:val="2"/>
          <w:szCs w:val="2"/>
        </w:rPr>
        <w:t> </w:t>
      </w:r>
      <w:bookmarkEnd w:id="3"/>
      <w:r>
        <w:rPr>
          <w:rFonts w:ascii="Arial" w:hAnsi="Arial" w:cs="Arial"/>
          <w:color w:val="333333"/>
          <w:szCs w:val="21"/>
        </w:rPr>
        <w:t xml:space="preserve"> </w:t>
      </w:r>
    </w:p>
    <w:p w14:paraId="6521BE12">
      <w:pPr>
        <w:shd w:val="clear" w:color="auto" w:fill="FFFFFF"/>
        <w:spacing w:line="360" w:lineRule="atLeast"/>
        <w:ind w:firstLine="480"/>
        <w:rPr>
          <w:rFonts w:ascii="Arial" w:hAnsi="Arial" w:cs="Arial"/>
          <w:color w:val="333333"/>
          <w:szCs w:val="21"/>
        </w:rPr>
      </w:pPr>
      <w:r>
        <w:rPr>
          <w:rFonts w:ascii="Arial" w:hAnsi="Arial" w:cs="Arial"/>
          <w:b/>
          <w:bCs/>
          <w:color w:val="333333"/>
          <w:szCs w:val="21"/>
        </w:rPr>
        <w:t>五、加强领导，精心组织实施</w:t>
      </w:r>
    </w:p>
    <w:p w14:paraId="661E49EE">
      <w:pPr>
        <w:shd w:val="clear" w:color="auto" w:fill="FFFFFF"/>
        <w:spacing w:line="360" w:lineRule="atLeast"/>
        <w:ind w:firstLine="480"/>
        <w:rPr>
          <w:rFonts w:ascii="Arial" w:hAnsi="Arial" w:cs="Arial"/>
          <w:color w:val="333333"/>
          <w:szCs w:val="21"/>
        </w:rPr>
      </w:pPr>
      <w:r>
        <w:rPr>
          <w:rFonts w:ascii="Arial" w:hAnsi="Arial" w:cs="Arial"/>
          <w:color w:val="333333"/>
          <w:szCs w:val="21"/>
        </w:rPr>
        <w:t>（十七）提高认识，增强工作责任感。做好移民工作，妥善解决移民群众关心的问题，使他们的长久生活有保障，关系到党和政府的威信，关系到党群、干群关系，关系到改革发展稳定的大局。完善水库移民后期扶持政策，加大扶持力度，是坚持以人为本、体现执政为民思想的一项重要举措，具有十分重要的意义。各地区、各有关部门要充分认识做好水库移民工作的重要性、紧迫性和艰巨性，进一步统一思想，提高认识，加强领导，明确责任，把移民工作摆上重要的议事日程，周密部署，精心组织，稳步推进，确保移民政策落到实处。</w:t>
      </w:r>
    </w:p>
    <w:p w14:paraId="55945772">
      <w:pPr>
        <w:shd w:val="clear" w:color="auto" w:fill="FFFFFF"/>
        <w:spacing w:line="360" w:lineRule="atLeast"/>
        <w:ind w:firstLine="480"/>
        <w:rPr>
          <w:rFonts w:ascii="Arial" w:hAnsi="Arial" w:cs="Arial"/>
          <w:color w:val="333333"/>
          <w:szCs w:val="21"/>
        </w:rPr>
      </w:pPr>
      <w:r>
        <w:rPr>
          <w:rFonts w:ascii="Arial" w:hAnsi="Arial" w:cs="Arial"/>
          <w:color w:val="333333"/>
          <w:szCs w:val="21"/>
        </w:rPr>
        <w:t>（十八）落实责任，加强协调配合。移民工作实行属地管理，省级人民政府对本地区移民工作和社会稳定负总责，地方各级人民政府主要负责同志是第一责任人，要有一位负责同志分管移民工作，实行一级抓一级，逐级落实责任，做到责任到位、工作到位。国务院有关部门要按照职责分工，各负其责，密切配合，加强对水库移民工作的指导。要抓紧研究组建统一的国务院移民管理机构，在新机构组建之前，由发展改革委牵头，会同有关部门建立部际联席会议制度，及时协调解决水库移民后期扶持政策实施中出现的问题。省级人民政府也要整合现有移民工作力量，明确负责移民工作的管理机构，明确职能，充实人员，工作经费要纳入同级财政预算。省以下各级人民政府可结合本地实际，因地制宜地明确负责移民工作的机构。各级人民政府要建立水库移民后期扶持政策实施情况的监测评估机制。要切实加强移民乡村基层组织建设，充分发挥农村基层组织作用，配合做好移民工作。</w:t>
      </w:r>
    </w:p>
    <w:p w14:paraId="0A0EB065">
      <w:pPr>
        <w:shd w:val="clear" w:color="auto" w:fill="FFFFFF"/>
        <w:spacing w:line="360" w:lineRule="atLeast"/>
        <w:ind w:firstLine="480"/>
        <w:rPr>
          <w:rFonts w:ascii="Arial" w:hAnsi="Arial" w:cs="Arial"/>
          <w:color w:val="333333"/>
          <w:szCs w:val="21"/>
        </w:rPr>
      </w:pPr>
      <w:r>
        <w:rPr>
          <w:rFonts w:ascii="Arial" w:hAnsi="Arial" w:cs="Arial"/>
          <w:color w:val="333333"/>
          <w:szCs w:val="21"/>
        </w:rPr>
        <w:t>（十九）制订方案，抓好干部培训。各省、自治区、直辖市人民政府要根据本意见抓紧制订本地区水库移民后期扶持政策实施方案，报国务院批准后组织实施。要细化实施办法，制定相关配套文件，选择若干不同类型的水库先行试点，取得经验后在全省范围内推开。各地要挑选一批思想素质好、政策水平高、业务能力强、群众工作经验丰富的干部组成移民工作组，深入库区开展工作。对参与移民工作的干部要分期分批进行培训，使移民工作干部深刻领会中央精神，准确把握政策界限，掌握正确的工作方法，提高依法办事能力。</w:t>
      </w:r>
    </w:p>
    <w:p w14:paraId="58E9A734">
      <w:pPr>
        <w:shd w:val="clear" w:color="auto" w:fill="FFFFFF"/>
        <w:spacing w:line="360" w:lineRule="atLeast"/>
        <w:ind w:firstLine="480"/>
        <w:rPr>
          <w:rFonts w:ascii="Arial" w:hAnsi="Arial" w:cs="Arial"/>
          <w:color w:val="333333"/>
          <w:szCs w:val="21"/>
        </w:rPr>
      </w:pPr>
      <w:r>
        <w:rPr>
          <w:rFonts w:ascii="Arial" w:hAnsi="Arial" w:cs="Arial"/>
          <w:color w:val="333333"/>
          <w:szCs w:val="21"/>
        </w:rPr>
        <w:t>（二十）强化监督，保证资金安全。地方各级人民政府要认真落实政策，严肃工作纪律。要审定移民人数，核实移民身份，并在乡村两级张榜公布，严禁弄虚作假。要认真执行水库移民后期扶持资金征收使用管理办法，严格资金支出管理，防止跑冒滴漏，严禁截留挪用。监察部要会同财政部制定有关责任追究办法。各级监察和审计部门要提前介入，加大工作力度，加强监督检查。对后期扶持资金使用中发现的问题，要限期整改。对违反法律法规和国家有关政策的，要依法依纪严肃处理；涉嫌</w:t>
      </w:r>
      <w:r>
        <w:fldChar w:fldCharType="begin"/>
      </w:r>
      <w:r>
        <w:instrText xml:space="preserve"> HYPERLINK "https://baike.baidu.com/item/%E7%8A%AF%E7%BD%AA/294163" \t "_blank" </w:instrText>
      </w:r>
      <w:r>
        <w:fldChar w:fldCharType="separate"/>
      </w:r>
      <w:r>
        <w:rPr>
          <w:rFonts w:ascii="Arial" w:hAnsi="Arial" w:cs="Arial"/>
          <w:color w:val="136EC2"/>
          <w:szCs w:val="21"/>
        </w:rPr>
        <w:t>犯罪</w:t>
      </w:r>
      <w:r>
        <w:rPr>
          <w:rFonts w:ascii="Arial" w:hAnsi="Arial" w:cs="Arial"/>
          <w:color w:val="136EC2"/>
          <w:szCs w:val="21"/>
        </w:rPr>
        <w:fldChar w:fldCharType="end"/>
      </w:r>
      <w:r>
        <w:rPr>
          <w:rFonts w:ascii="Arial" w:hAnsi="Arial" w:cs="Arial"/>
          <w:color w:val="333333"/>
          <w:szCs w:val="21"/>
        </w:rPr>
        <w:t>的，要移送</w:t>
      </w:r>
      <w:r>
        <w:fldChar w:fldCharType="begin"/>
      </w:r>
      <w:r>
        <w:instrText xml:space="preserve"> HYPERLINK "https://baike.baidu.com/item/%E5%8F%B8%E6%B3%95%E6%9C%BA%E5%85%B3" \t "_blank" </w:instrText>
      </w:r>
      <w:r>
        <w:fldChar w:fldCharType="separate"/>
      </w:r>
      <w:r>
        <w:rPr>
          <w:rFonts w:ascii="Arial" w:hAnsi="Arial" w:cs="Arial"/>
          <w:color w:val="136EC2"/>
          <w:szCs w:val="21"/>
        </w:rPr>
        <w:t>司法机关</w:t>
      </w:r>
      <w:r>
        <w:rPr>
          <w:rFonts w:ascii="Arial" w:hAnsi="Arial" w:cs="Arial"/>
          <w:color w:val="136EC2"/>
          <w:szCs w:val="21"/>
        </w:rPr>
        <w:fldChar w:fldCharType="end"/>
      </w:r>
      <w:r>
        <w:rPr>
          <w:rFonts w:ascii="Arial" w:hAnsi="Arial" w:cs="Arial"/>
          <w:color w:val="333333"/>
          <w:szCs w:val="21"/>
        </w:rPr>
        <w:t>依法追究有关责任人员的</w:t>
      </w:r>
      <w:r>
        <w:fldChar w:fldCharType="begin"/>
      </w:r>
      <w:r>
        <w:instrText xml:space="preserve"> HYPERLINK "https://baike.baidu.com/item/%E5%88%91%E4%BA%8B%E8%B4%A3%E4%BB%BB" \t "_blank" </w:instrText>
      </w:r>
      <w:r>
        <w:fldChar w:fldCharType="separate"/>
      </w:r>
      <w:r>
        <w:rPr>
          <w:rFonts w:ascii="Arial" w:hAnsi="Arial" w:cs="Arial"/>
          <w:color w:val="136EC2"/>
          <w:szCs w:val="21"/>
        </w:rPr>
        <w:t>刑事责任</w:t>
      </w:r>
      <w:r>
        <w:rPr>
          <w:rFonts w:ascii="Arial" w:hAnsi="Arial" w:cs="Arial"/>
          <w:color w:val="136EC2"/>
          <w:szCs w:val="21"/>
        </w:rPr>
        <w:fldChar w:fldCharType="end"/>
      </w:r>
      <w:r>
        <w:rPr>
          <w:rFonts w:ascii="Arial" w:hAnsi="Arial" w:cs="Arial"/>
          <w:color w:val="333333"/>
          <w:szCs w:val="21"/>
        </w:rPr>
        <w:t>。</w:t>
      </w:r>
    </w:p>
    <w:p w14:paraId="7EFD0D5C">
      <w:pPr>
        <w:shd w:val="clear" w:color="auto" w:fill="FFFFFF"/>
        <w:spacing w:line="360" w:lineRule="atLeast"/>
        <w:ind w:firstLine="480"/>
        <w:rPr>
          <w:rFonts w:ascii="Arial" w:hAnsi="Arial" w:cs="Arial"/>
          <w:color w:val="333333"/>
          <w:szCs w:val="21"/>
        </w:rPr>
      </w:pPr>
      <w:r>
        <w:rPr>
          <w:rFonts w:ascii="Arial" w:hAnsi="Arial" w:cs="Arial"/>
          <w:color w:val="333333"/>
          <w:szCs w:val="21"/>
        </w:rPr>
        <w:t>（二十一）加强宣传，维护社会稳定。各级宣传部门要坚持正确的舆论导向，为后期扶持政策的顺利实施营造良好的舆论氛围。要大力宣传国家的移民法规，配合移民部门做好后期扶持政策的有关宣传、解释工作，充分体现党和政府对水库移民的关心和照顾。要把握好宣传报道口径，严肃宣传纪律，防止炒作。地方各级人民政府要始终注意做好维护稳定的工作，认真排查各种不稳定因素，及时化解矛盾。要耐心细致地做好移民的思想政治工作，引导移民以合理合法的方式表达利益诉求，坚持依法办事、按政策办事，确保社会稳定。</w:t>
      </w:r>
    </w:p>
    <w:p w14:paraId="0A283DB8">
      <w:pPr>
        <w:shd w:val="clear" w:color="auto" w:fill="FFFFFF"/>
        <w:spacing w:line="360" w:lineRule="atLeast"/>
        <w:ind w:firstLine="480"/>
        <w:rPr>
          <w:rFonts w:ascii="Arial" w:hAnsi="Arial" w:cs="Arial"/>
          <w:color w:val="333333"/>
          <w:szCs w:val="21"/>
        </w:rPr>
      </w:pPr>
      <w:r>
        <w:rPr>
          <w:rFonts w:ascii="Arial" w:hAnsi="Arial" w:cs="Arial"/>
          <w:color w:val="333333"/>
          <w:szCs w:val="21"/>
        </w:rPr>
        <w:t>发展改革委要会同财政部、水利部等有关部门，对各地实施水库移民后期扶持政策的情况进行监督检查，重大情况要及时向国务院报告</w:t>
      </w:r>
    </w:p>
    <w:p w14:paraId="19FD6560">
      <w:pPr>
        <w:jc w:val="center"/>
        <w:rPr>
          <w:rFonts w:ascii="黑体" w:hAnsi="宋体" w:eastAsia="黑体"/>
          <w:bCs/>
          <w:sz w:val="32"/>
          <w:szCs w:val="32"/>
        </w:rPr>
      </w:pPr>
    </w:p>
    <w:p w14:paraId="0B21EC9D">
      <w:pPr>
        <w:jc w:val="center"/>
        <w:rPr>
          <w:rFonts w:ascii="黑体" w:hAnsi="宋体" w:eastAsia="黑体"/>
          <w:bCs/>
          <w:sz w:val="32"/>
          <w:szCs w:val="32"/>
        </w:rPr>
      </w:pPr>
    </w:p>
    <w:p w14:paraId="546EF8B3">
      <w:pPr>
        <w:jc w:val="center"/>
        <w:rPr>
          <w:rFonts w:ascii="黑体" w:hAnsi="宋体" w:eastAsia="黑体"/>
          <w:bCs/>
          <w:sz w:val="32"/>
          <w:szCs w:val="32"/>
        </w:rPr>
      </w:pPr>
    </w:p>
    <w:p w14:paraId="2FFFB0A9">
      <w:pPr>
        <w:jc w:val="center"/>
        <w:rPr>
          <w:rFonts w:ascii="黑体" w:hAnsi="宋体" w:eastAsia="黑体"/>
          <w:bCs/>
          <w:sz w:val="32"/>
          <w:szCs w:val="32"/>
        </w:rPr>
      </w:pPr>
    </w:p>
    <w:p w14:paraId="58AA9356">
      <w:pPr>
        <w:jc w:val="center"/>
        <w:rPr>
          <w:rFonts w:ascii="黑体" w:hAnsi="宋体" w:eastAsia="黑体"/>
          <w:bCs/>
          <w:sz w:val="32"/>
          <w:szCs w:val="32"/>
        </w:rPr>
      </w:pPr>
    </w:p>
    <w:p w14:paraId="60AE121A">
      <w:pPr>
        <w:jc w:val="center"/>
        <w:rPr>
          <w:rFonts w:ascii="黑体" w:hAnsi="宋体" w:eastAsia="黑体"/>
          <w:bCs/>
          <w:sz w:val="32"/>
          <w:szCs w:val="32"/>
        </w:rPr>
      </w:pPr>
    </w:p>
    <w:p w14:paraId="7AFEE961">
      <w:pPr>
        <w:jc w:val="center"/>
        <w:rPr>
          <w:rFonts w:ascii="黑体" w:hAnsi="宋体" w:eastAsia="黑体"/>
          <w:bCs/>
          <w:sz w:val="32"/>
          <w:szCs w:val="32"/>
        </w:rPr>
      </w:pPr>
    </w:p>
    <w:p w14:paraId="6807C800">
      <w:pPr>
        <w:jc w:val="center"/>
        <w:rPr>
          <w:rFonts w:ascii="黑体" w:hAnsi="宋体" w:eastAsia="黑体"/>
          <w:bCs/>
          <w:sz w:val="32"/>
          <w:szCs w:val="32"/>
        </w:rPr>
      </w:pPr>
    </w:p>
    <w:p w14:paraId="679C341D">
      <w:pPr>
        <w:jc w:val="center"/>
        <w:rPr>
          <w:rFonts w:ascii="黑体" w:hAnsi="宋体" w:eastAsia="黑体"/>
          <w:bCs/>
          <w:sz w:val="32"/>
          <w:szCs w:val="32"/>
        </w:rPr>
      </w:pPr>
    </w:p>
    <w:p w14:paraId="64F9EFBE">
      <w:pPr>
        <w:jc w:val="center"/>
        <w:rPr>
          <w:rFonts w:ascii="黑体" w:hAnsi="宋体" w:eastAsia="黑体"/>
          <w:bCs/>
          <w:sz w:val="32"/>
          <w:szCs w:val="32"/>
        </w:rPr>
      </w:pPr>
    </w:p>
    <w:p w14:paraId="61B4F6E4">
      <w:pPr>
        <w:jc w:val="center"/>
        <w:rPr>
          <w:rFonts w:ascii="黑体" w:hAnsi="宋体" w:eastAsia="黑体"/>
          <w:bCs/>
          <w:sz w:val="32"/>
          <w:szCs w:val="32"/>
        </w:rPr>
      </w:pPr>
    </w:p>
    <w:p w14:paraId="35A45945">
      <w:pPr>
        <w:jc w:val="center"/>
        <w:rPr>
          <w:rFonts w:ascii="黑体" w:hAnsi="宋体" w:eastAsia="黑体"/>
          <w:bCs/>
          <w:sz w:val="32"/>
          <w:szCs w:val="32"/>
        </w:rPr>
      </w:pPr>
    </w:p>
    <w:p w14:paraId="43F2566F">
      <w:pPr>
        <w:jc w:val="center"/>
        <w:rPr>
          <w:rFonts w:ascii="黑体" w:hAnsi="宋体" w:eastAsia="黑体"/>
          <w:bCs/>
          <w:sz w:val="32"/>
          <w:szCs w:val="32"/>
        </w:rPr>
      </w:pPr>
    </w:p>
    <w:p w14:paraId="6AF80753">
      <w:pPr>
        <w:jc w:val="center"/>
        <w:rPr>
          <w:rFonts w:ascii="黑体" w:hAnsi="宋体" w:eastAsia="黑体"/>
          <w:bCs/>
          <w:sz w:val="32"/>
          <w:szCs w:val="32"/>
        </w:rPr>
      </w:pPr>
    </w:p>
    <w:p w14:paraId="230EE9D9">
      <w:pPr>
        <w:jc w:val="center"/>
        <w:rPr>
          <w:rFonts w:ascii="黑体" w:hAnsi="宋体" w:eastAsia="黑体"/>
          <w:bCs/>
          <w:sz w:val="32"/>
          <w:szCs w:val="32"/>
        </w:rPr>
      </w:pPr>
    </w:p>
    <w:p w14:paraId="432C04AF">
      <w:pPr>
        <w:jc w:val="center"/>
        <w:rPr>
          <w:rFonts w:ascii="黑体" w:hAnsi="宋体" w:eastAsia="黑体"/>
          <w:bCs/>
          <w:sz w:val="32"/>
          <w:szCs w:val="32"/>
        </w:rPr>
      </w:pPr>
    </w:p>
    <w:p w14:paraId="791D3CF7">
      <w:pPr>
        <w:jc w:val="center"/>
        <w:rPr>
          <w:rFonts w:ascii="黑体" w:hAnsi="宋体" w:eastAsia="黑体"/>
          <w:bCs/>
          <w:sz w:val="32"/>
          <w:szCs w:val="32"/>
        </w:rPr>
      </w:pPr>
    </w:p>
    <w:p w14:paraId="6C6D8A51">
      <w:pPr>
        <w:jc w:val="center"/>
        <w:rPr>
          <w:rFonts w:ascii="黑体" w:hAnsi="宋体" w:eastAsia="黑体"/>
          <w:bCs/>
          <w:sz w:val="32"/>
          <w:szCs w:val="32"/>
        </w:rPr>
      </w:pPr>
    </w:p>
    <w:p w14:paraId="570D1A27">
      <w:pPr>
        <w:jc w:val="center"/>
        <w:rPr>
          <w:rFonts w:ascii="黑体" w:hAnsi="宋体" w:eastAsia="黑体"/>
          <w:bCs/>
          <w:sz w:val="32"/>
          <w:szCs w:val="32"/>
        </w:rPr>
      </w:pPr>
    </w:p>
    <w:p w14:paraId="1729C208">
      <w:pPr>
        <w:jc w:val="center"/>
        <w:rPr>
          <w:rFonts w:ascii="黑体" w:hAnsi="宋体" w:eastAsia="黑体"/>
          <w:bCs/>
          <w:sz w:val="32"/>
          <w:szCs w:val="32"/>
        </w:rPr>
      </w:pPr>
    </w:p>
    <w:p w14:paraId="6B6F4FE6">
      <w:pPr>
        <w:jc w:val="center"/>
        <w:rPr>
          <w:rFonts w:ascii="黑体" w:hAnsi="宋体" w:eastAsia="黑体"/>
          <w:bCs/>
          <w:sz w:val="32"/>
          <w:szCs w:val="32"/>
        </w:rPr>
      </w:pPr>
    </w:p>
    <w:p w14:paraId="02E2F37C">
      <w:pPr>
        <w:jc w:val="center"/>
        <w:rPr>
          <w:rFonts w:ascii="黑体" w:hAnsi="宋体" w:eastAsia="黑体"/>
          <w:bCs/>
          <w:sz w:val="32"/>
          <w:szCs w:val="32"/>
        </w:rPr>
      </w:pPr>
    </w:p>
    <w:p w14:paraId="3468C08F">
      <w:pPr>
        <w:jc w:val="center"/>
        <w:rPr>
          <w:rFonts w:ascii="黑体" w:hAnsi="宋体" w:eastAsia="黑体"/>
          <w:bCs/>
          <w:sz w:val="32"/>
          <w:szCs w:val="32"/>
        </w:rPr>
      </w:pPr>
    </w:p>
    <w:p w14:paraId="366BFC92">
      <w:pPr>
        <w:jc w:val="center"/>
        <w:rPr>
          <w:rFonts w:ascii="黑体" w:hAnsi="宋体" w:eastAsia="黑体"/>
          <w:bCs/>
          <w:sz w:val="32"/>
          <w:szCs w:val="32"/>
        </w:rPr>
      </w:pPr>
    </w:p>
    <w:p w14:paraId="046A6FE1">
      <w:pPr>
        <w:jc w:val="center"/>
        <w:rPr>
          <w:rFonts w:ascii="黑体" w:hAnsi="宋体" w:eastAsia="黑体"/>
          <w:bCs/>
          <w:sz w:val="32"/>
          <w:szCs w:val="32"/>
        </w:rPr>
      </w:pPr>
    </w:p>
    <w:p w14:paraId="076EBAED">
      <w:pPr>
        <w:jc w:val="center"/>
        <w:rPr>
          <w:rFonts w:ascii="黑体" w:hAnsi="宋体" w:eastAsia="黑体"/>
          <w:bCs/>
          <w:sz w:val="32"/>
          <w:szCs w:val="32"/>
        </w:rPr>
      </w:pPr>
    </w:p>
    <w:p w14:paraId="02481118">
      <w:pPr>
        <w:jc w:val="center"/>
        <w:rPr>
          <w:rFonts w:ascii="黑体" w:hAnsi="宋体" w:eastAsia="黑体"/>
          <w:bCs/>
          <w:sz w:val="32"/>
          <w:szCs w:val="32"/>
        </w:rPr>
      </w:pPr>
    </w:p>
    <w:p w14:paraId="3FA1B369">
      <w:pPr>
        <w:jc w:val="center"/>
        <w:rPr>
          <w:rFonts w:ascii="黑体" w:hAnsi="宋体" w:eastAsia="黑体"/>
          <w:bCs/>
          <w:sz w:val="32"/>
          <w:szCs w:val="32"/>
        </w:rPr>
      </w:pPr>
    </w:p>
    <w:p w14:paraId="088A331A">
      <w:pPr>
        <w:jc w:val="center"/>
        <w:rPr>
          <w:rFonts w:ascii="黑体" w:hAnsi="宋体" w:eastAsia="黑体"/>
          <w:bCs/>
          <w:sz w:val="32"/>
          <w:szCs w:val="32"/>
        </w:rPr>
      </w:pPr>
    </w:p>
    <w:p w14:paraId="794049AD">
      <w:pPr>
        <w:jc w:val="center"/>
        <w:rPr>
          <w:rFonts w:ascii="黑体" w:hAnsi="宋体" w:eastAsia="黑体"/>
          <w:bCs/>
          <w:sz w:val="32"/>
          <w:szCs w:val="32"/>
        </w:rPr>
      </w:pPr>
    </w:p>
    <w:p w14:paraId="428B18A4">
      <w:pPr>
        <w:jc w:val="center"/>
        <w:rPr>
          <w:rFonts w:ascii="黑体" w:hAnsi="宋体" w:eastAsia="黑体"/>
          <w:bCs/>
          <w:sz w:val="32"/>
          <w:szCs w:val="32"/>
        </w:rPr>
      </w:pPr>
    </w:p>
    <w:p w14:paraId="6988DD26">
      <w:pPr>
        <w:pStyle w:val="35"/>
        <w:spacing w:line="432" w:lineRule="auto"/>
        <w:jc w:val="center"/>
        <w:rPr>
          <w:rFonts w:ascii="黑体" w:hAnsi="黑体" w:eastAsia="黑体"/>
          <w:sz w:val="32"/>
          <w:szCs w:val="32"/>
        </w:rPr>
      </w:pPr>
      <w:r>
        <w:rPr>
          <w:rFonts w:hint="eastAsia" w:ascii="黑体" w:hAnsi="黑体" w:eastAsia="黑体"/>
          <w:sz w:val="32"/>
          <w:szCs w:val="32"/>
        </w:rPr>
        <w:t>中华人民共和国政府信息公开条例</w:t>
      </w:r>
    </w:p>
    <w:p w14:paraId="4A475FF2">
      <w:pPr>
        <w:pStyle w:val="35"/>
        <w:spacing w:before="0" w:beforeAutospacing="0" w:after="0" w:afterAutospacing="0"/>
        <w:jc w:val="center"/>
        <w:rPr>
          <w:sz w:val="21"/>
          <w:szCs w:val="21"/>
        </w:rPr>
      </w:pPr>
      <w:r>
        <w:rPr>
          <w:rFonts w:hint="eastAsia" w:ascii="黑体" w:hAnsi="黑体" w:eastAsia="黑体"/>
          <w:sz w:val="21"/>
          <w:szCs w:val="21"/>
        </w:rPr>
        <w:t>第一章　总　　则</w:t>
      </w:r>
    </w:p>
    <w:p w14:paraId="0A02F80B">
      <w:pPr>
        <w:pStyle w:val="35"/>
        <w:spacing w:before="0" w:beforeAutospacing="0" w:after="0" w:afterAutospacing="0"/>
        <w:rPr>
          <w:sz w:val="21"/>
          <w:szCs w:val="21"/>
        </w:rPr>
      </w:pPr>
      <w:r>
        <w:rPr>
          <w:rFonts w:hint="eastAsia"/>
          <w:sz w:val="21"/>
          <w:szCs w:val="21"/>
        </w:rPr>
        <w:t>　　</w:t>
      </w:r>
      <w:r>
        <w:rPr>
          <w:rFonts w:hint="eastAsia" w:ascii="黑体" w:hAnsi="黑体" w:eastAsia="黑体"/>
          <w:sz w:val="21"/>
          <w:szCs w:val="21"/>
        </w:rPr>
        <w:t>第一条</w:t>
      </w:r>
      <w:r>
        <w:rPr>
          <w:rFonts w:hint="eastAsia"/>
          <w:sz w:val="21"/>
          <w:szCs w:val="21"/>
        </w:rPr>
        <w:t>　为了保障公民、法人和其他组织依法获取政府信息，提高政府工作的透明度，促进依法行政，充分发挥政府信息对人民群众生产、生活和经济社会活动的服务作用，制定本条例。</w:t>
      </w:r>
      <w:r>
        <w:rPr>
          <w:rFonts w:hint="eastAsia"/>
          <w:sz w:val="21"/>
          <w:szCs w:val="21"/>
        </w:rPr>
        <w:br w:type="textWrapping"/>
      </w:r>
      <w:r>
        <w:rPr>
          <w:rFonts w:hint="eastAsia"/>
          <w:sz w:val="21"/>
          <w:szCs w:val="21"/>
        </w:rPr>
        <w:t>　　</w:t>
      </w:r>
      <w:r>
        <w:rPr>
          <w:rFonts w:hint="eastAsia" w:ascii="黑体" w:hAnsi="黑体" w:eastAsia="黑体"/>
          <w:sz w:val="21"/>
          <w:szCs w:val="21"/>
        </w:rPr>
        <w:t>第二条</w:t>
      </w:r>
      <w:r>
        <w:rPr>
          <w:rFonts w:hint="eastAsia"/>
          <w:sz w:val="21"/>
          <w:szCs w:val="21"/>
        </w:rPr>
        <w:t>　本条例所称政府信息，是指行政机关在履行职责过程中制作或者获取的，以一定形式记录、保存的信息。</w:t>
      </w:r>
      <w:r>
        <w:rPr>
          <w:rFonts w:hint="eastAsia"/>
          <w:sz w:val="21"/>
          <w:szCs w:val="21"/>
        </w:rPr>
        <w:br w:type="textWrapping"/>
      </w:r>
      <w:r>
        <w:rPr>
          <w:rFonts w:hint="eastAsia"/>
          <w:sz w:val="21"/>
          <w:szCs w:val="21"/>
        </w:rPr>
        <w:t>　　</w:t>
      </w:r>
      <w:r>
        <w:rPr>
          <w:rFonts w:hint="eastAsia" w:ascii="黑体" w:hAnsi="黑体" w:eastAsia="黑体"/>
          <w:sz w:val="21"/>
          <w:szCs w:val="21"/>
        </w:rPr>
        <w:t>第三条</w:t>
      </w:r>
      <w:r>
        <w:rPr>
          <w:rFonts w:hint="eastAsia"/>
          <w:sz w:val="21"/>
          <w:szCs w:val="21"/>
        </w:rPr>
        <w:t>　各级人民政府应当加强对政府信息公开工作的组织领导。</w:t>
      </w:r>
      <w:r>
        <w:rPr>
          <w:rFonts w:hint="eastAsia"/>
          <w:sz w:val="21"/>
          <w:szCs w:val="21"/>
        </w:rPr>
        <w:br w:type="textWrapping"/>
      </w:r>
      <w:r>
        <w:rPr>
          <w:rFonts w:hint="eastAsia"/>
          <w:sz w:val="21"/>
          <w:szCs w:val="21"/>
        </w:rPr>
        <w:t>　　国务院办公厅是全国政府信息公开工作的主管部门，负责推进、指导、协调、监督全国的政府信息公开工作。</w:t>
      </w:r>
      <w:r>
        <w:rPr>
          <w:rFonts w:hint="eastAsia"/>
          <w:sz w:val="21"/>
          <w:szCs w:val="21"/>
        </w:rPr>
        <w:br w:type="textWrapping"/>
      </w:r>
      <w:r>
        <w:rPr>
          <w:rFonts w:hint="eastAsia"/>
          <w:sz w:val="21"/>
          <w:szCs w:val="21"/>
        </w:rPr>
        <w:t>　　县级以上地方人民政府办公厅（室）或者县级以上地方人民政府确定的其他政府信息公开工作主管部门负责推进、指导、协调、监督本行政区域的政府信息公开工作。</w:t>
      </w:r>
      <w:r>
        <w:rPr>
          <w:rFonts w:hint="eastAsia"/>
          <w:sz w:val="21"/>
          <w:szCs w:val="21"/>
        </w:rPr>
        <w:br w:type="textWrapping"/>
      </w:r>
      <w:r>
        <w:rPr>
          <w:rFonts w:hint="eastAsia"/>
          <w:sz w:val="21"/>
          <w:szCs w:val="21"/>
        </w:rPr>
        <w:t>　　</w:t>
      </w:r>
      <w:r>
        <w:rPr>
          <w:rFonts w:hint="eastAsia" w:ascii="黑体" w:hAnsi="黑体" w:eastAsia="黑体"/>
          <w:sz w:val="21"/>
          <w:szCs w:val="21"/>
        </w:rPr>
        <w:t>第四条</w:t>
      </w:r>
      <w:r>
        <w:rPr>
          <w:rFonts w:hint="eastAsia"/>
          <w:sz w:val="21"/>
          <w:szCs w:val="21"/>
        </w:rPr>
        <w:t>　各级人民政府及县级以上人民政府部门应当建立健全本行政机关的政府信息公开工作制度，并指定机构（以下统称政府信息公开工作机构）负责本行政机关政府信息公开的日常工作。</w:t>
      </w:r>
      <w:r>
        <w:rPr>
          <w:rFonts w:hint="eastAsia"/>
          <w:sz w:val="21"/>
          <w:szCs w:val="21"/>
        </w:rPr>
        <w:br w:type="textWrapping"/>
      </w:r>
      <w:r>
        <w:rPr>
          <w:rFonts w:hint="eastAsia"/>
          <w:sz w:val="21"/>
          <w:szCs w:val="21"/>
        </w:rPr>
        <w:t>　　政府信息公开工作机构的具体职责是：</w:t>
      </w:r>
      <w:r>
        <w:rPr>
          <w:rFonts w:hint="eastAsia"/>
          <w:sz w:val="21"/>
          <w:szCs w:val="21"/>
        </w:rPr>
        <w:br w:type="textWrapping"/>
      </w:r>
      <w:r>
        <w:rPr>
          <w:rFonts w:hint="eastAsia"/>
          <w:sz w:val="21"/>
          <w:szCs w:val="21"/>
        </w:rPr>
        <w:t>　　（一）具体承办本行政机关的政府信息公开事宜；</w:t>
      </w:r>
      <w:r>
        <w:rPr>
          <w:rFonts w:hint="eastAsia"/>
          <w:sz w:val="21"/>
          <w:szCs w:val="21"/>
        </w:rPr>
        <w:br w:type="textWrapping"/>
      </w:r>
      <w:r>
        <w:rPr>
          <w:rFonts w:hint="eastAsia"/>
          <w:sz w:val="21"/>
          <w:szCs w:val="21"/>
        </w:rPr>
        <w:t>　　（二）维护和更新本行政机关公开的政府信息；</w:t>
      </w:r>
      <w:r>
        <w:rPr>
          <w:rFonts w:hint="eastAsia"/>
          <w:sz w:val="21"/>
          <w:szCs w:val="21"/>
        </w:rPr>
        <w:br w:type="textWrapping"/>
      </w:r>
      <w:r>
        <w:rPr>
          <w:rFonts w:hint="eastAsia"/>
          <w:sz w:val="21"/>
          <w:szCs w:val="21"/>
        </w:rPr>
        <w:t>　　（三）组织编制本行政机关的政府信息公开指南、政府信息公开目录和政府信息公开工作年度报告；</w:t>
      </w:r>
      <w:r>
        <w:rPr>
          <w:rFonts w:hint="eastAsia"/>
          <w:sz w:val="21"/>
          <w:szCs w:val="21"/>
        </w:rPr>
        <w:br w:type="textWrapping"/>
      </w:r>
      <w:r>
        <w:rPr>
          <w:rFonts w:hint="eastAsia"/>
          <w:sz w:val="21"/>
          <w:szCs w:val="21"/>
        </w:rPr>
        <w:t>　　（四）对拟公开的政府信息进行保密审查；</w:t>
      </w:r>
      <w:r>
        <w:rPr>
          <w:rFonts w:hint="eastAsia"/>
          <w:sz w:val="21"/>
          <w:szCs w:val="21"/>
        </w:rPr>
        <w:br w:type="textWrapping"/>
      </w:r>
      <w:r>
        <w:rPr>
          <w:rFonts w:hint="eastAsia"/>
          <w:sz w:val="21"/>
          <w:szCs w:val="21"/>
        </w:rPr>
        <w:t>　　（五）本行政机关规定的与政府信息公开有关的其他职责。</w:t>
      </w:r>
      <w:r>
        <w:rPr>
          <w:rFonts w:hint="eastAsia"/>
          <w:sz w:val="21"/>
          <w:szCs w:val="21"/>
        </w:rPr>
        <w:br w:type="textWrapping"/>
      </w:r>
      <w:r>
        <w:rPr>
          <w:rFonts w:hint="eastAsia"/>
          <w:sz w:val="21"/>
          <w:szCs w:val="21"/>
        </w:rPr>
        <w:t>　　</w:t>
      </w:r>
      <w:r>
        <w:rPr>
          <w:rFonts w:hint="eastAsia" w:ascii="黑体" w:hAnsi="黑体" w:eastAsia="黑体"/>
          <w:sz w:val="21"/>
          <w:szCs w:val="21"/>
        </w:rPr>
        <w:t>第五条</w:t>
      </w:r>
      <w:r>
        <w:rPr>
          <w:rFonts w:hint="eastAsia"/>
          <w:sz w:val="21"/>
          <w:szCs w:val="21"/>
        </w:rPr>
        <w:t>　行政机关公开政府信息，应当遵循公正、公平、便民的原则。</w:t>
      </w:r>
      <w:r>
        <w:rPr>
          <w:rFonts w:hint="eastAsia"/>
          <w:sz w:val="21"/>
          <w:szCs w:val="21"/>
        </w:rPr>
        <w:br w:type="textWrapping"/>
      </w:r>
      <w:r>
        <w:rPr>
          <w:rFonts w:hint="eastAsia"/>
          <w:sz w:val="21"/>
          <w:szCs w:val="21"/>
        </w:rPr>
        <w:t>　　</w:t>
      </w:r>
      <w:r>
        <w:rPr>
          <w:rFonts w:hint="eastAsia" w:ascii="黑体" w:hAnsi="黑体" w:eastAsia="黑体"/>
          <w:sz w:val="21"/>
          <w:szCs w:val="21"/>
        </w:rPr>
        <w:t>第六条</w:t>
      </w:r>
      <w:r>
        <w:rPr>
          <w:rFonts w:hint="eastAsia"/>
          <w:sz w:val="21"/>
          <w:szCs w:val="21"/>
        </w:rPr>
        <w:t>　行政机关应当及时、准确地公开政府信息。行政机关发现影响或者可能影响社会稳定、扰乱社会管理秩序的虚假或者不完整信息的，应当在其职责范围内发布准确的政府信息予以澄清。</w:t>
      </w:r>
      <w:r>
        <w:rPr>
          <w:rFonts w:hint="eastAsia"/>
          <w:sz w:val="21"/>
          <w:szCs w:val="21"/>
        </w:rPr>
        <w:br w:type="textWrapping"/>
      </w:r>
      <w:r>
        <w:rPr>
          <w:rFonts w:hint="eastAsia"/>
          <w:sz w:val="21"/>
          <w:szCs w:val="21"/>
        </w:rPr>
        <w:t>　　</w:t>
      </w:r>
      <w:r>
        <w:rPr>
          <w:rFonts w:hint="eastAsia" w:ascii="黑体" w:hAnsi="黑体" w:eastAsia="黑体"/>
          <w:sz w:val="21"/>
          <w:szCs w:val="21"/>
        </w:rPr>
        <w:t>第七条</w:t>
      </w:r>
      <w:r>
        <w:rPr>
          <w:rFonts w:hint="eastAsia"/>
          <w:sz w:val="21"/>
          <w:szCs w:val="21"/>
        </w:rPr>
        <w:t>　行政机关应当建立健全政府信息发布协调机制。行政机关发布政府信息涉及其他行政机关的，应当与有关行政机关进行沟通、确认，保证行政机关发布的政府信息准确一致。</w:t>
      </w:r>
      <w:r>
        <w:rPr>
          <w:rFonts w:hint="eastAsia"/>
          <w:sz w:val="21"/>
          <w:szCs w:val="21"/>
        </w:rPr>
        <w:br w:type="textWrapping"/>
      </w:r>
      <w:r>
        <w:rPr>
          <w:rFonts w:hint="eastAsia"/>
          <w:sz w:val="21"/>
          <w:szCs w:val="21"/>
        </w:rPr>
        <w:t>　　行政机关发布政府信息依照国家有关规定需要批准的，未经批准不得发布。</w:t>
      </w:r>
      <w:r>
        <w:rPr>
          <w:rFonts w:hint="eastAsia"/>
          <w:sz w:val="21"/>
          <w:szCs w:val="21"/>
        </w:rPr>
        <w:br w:type="textWrapping"/>
      </w:r>
      <w:r>
        <w:rPr>
          <w:rFonts w:hint="eastAsia"/>
          <w:sz w:val="21"/>
          <w:szCs w:val="21"/>
        </w:rPr>
        <w:t>　　</w:t>
      </w:r>
      <w:r>
        <w:rPr>
          <w:rFonts w:hint="eastAsia" w:ascii="黑体" w:hAnsi="黑体" w:eastAsia="黑体"/>
          <w:sz w:val="21"/>
          <w:szCs w:val="21"/>
        </w:rPr>
        <w:t>第八条</w:t>
      </w:r>
      <w:r>
        <w:rPr>
          <w:rFonts w:hint="eastAsia"/>
          <w:sz w:val="21"/>
          <w:szCs w:val="21"/>
        </w:rPr>
        <w:t>　行政机关公开政府信息，不得危及国家安全、公共安全、经济安全和社会稳定。</w:t>
      </w:r>
    </w:p>
    <w:p w14:paraId="705B5FC3">
      <w:pPr>
        <w:pStyle w:val="35"/>
        <w:spacing w:before="0" w:beforeAutospacing="0" w:after="0" w:afterAutospacing="0"/>
        <w:jc w:val="center"/>
        <w:rPr>
          <w:sz w:val="21"/>
          <w:szCs w:val="21"/>
        </w:rPr>
      </w:pPr>
      <w:r>
        <w:rPr>
          <w:rFonts w:hint="eastAsia" w:ascii="黑体" w:hAnsi="黑体" w:eastAsia="黑体"/>
          <w:sz w:val="21"/>
          <w:szCs w:val="21"/>
        </w:rPr>
        <w:t>第二章　公开的范围</w:t>
      </w:r>
    </w:p>
    <w:p w14:paraId="2C1538D5">
      <w:pPr>
        <w:pStyle w:val="35"/>
        <w:spacing w:before="0" w:beforeAutospacing="0" w:after="0" w:afterAutospacing="0"/>
        <w:rPr>
          <w:sz w:val="21"/>
          <w:szCs w:val="21"/>
        </w:rPr>
      </w:pPr>
      <w:r>
        <w:rPr>
          <w:rFonts w:hint="eastAsia"/>
          <w:sz w:val="21"/>
          <w:szCs w:val="21"/>
        </w:rPr>
        <w:t>　　</w:t>
      </w:r>
      <w:r>
        <w:rPr>
          <w:rFonts w:hint="eastAsia" w:ascii="黑体" w:hAnsi="黑体" w:eastAsia="黑体"/>
          <w:sz w:val="21"/>
          <w:szCs w:val="21"/>
        </w:rPr>
        <w:t>第九条</w:t>
      </w:r>
      <w:r>
        <w:rPr>
          <w:rFonts w:hint="eastAsia"/>
          <w:sz w:val="21"/>
          <w:szCs w:val="21"/>
        </w:rPr>
        <w:t>　行政机关对符合下列基本要求之一的政府信息应当主动公开：</w:t>
      </w:r>
      <w:r>
        <w:rPr>
          <w:rFonts w:hint="eastAsia"/>
          <w:sz w:val="21"/>
          <w:szCs w:val="21"/>
        </w:rPr>
        <w:br w:type="textWrapping"/>
      </w:r>
      <w:r>
        <w:rPr>
          <w:rFonts w:hint="eastAsia"/>
          <w:sz w:val="21"/>
          <w:szCs w:val="21"/>
        </w:rPr>
        <w:t>　　（一）涉及公民、法人或者其他组织切身利益的；</w:t>
      </w:r>
      <w:r>
        <w:rPr>
          <w:rFonts w:hint="eastAsia"/>
          <w:sz w:val="21"/>
          <w:szCs w:val="21"/>
        </w:rPr>
        <w:br w:type="textWrapping"/>
      </w:r>
      <w:r>
        <w:rPr>
          <w:rFonts w:hint="eastAsia"/>
          <w:sz w:val="21"/>
          <w:szCs w:val="21"/>
        </w:rPr>
        <w:t>　　（二）需要社会公众广泛知晓或者参与的；</w:t>
      </w:r>
      <w:r>
        <w:rPr>
          <w:rFonts w:hint="eastAsia"/>
          <w:sz w:val="21"/>
          <w:szCs w:val="21"/>
        </w:rPr>
        <w:br w:type="textWrapping"/>
      </w:r>
      <w:r>
        <w:rPr>
          <w:rFonts w:hint="eastAsia"/>
          <w:sz w:val="21"/>
          <w:szCs w:val="21"/>
        </w:rPr>
        <w:t>　　（三）反映本行政机关机构设置、职能、办事程序等情况的；</w:t>
      </w:r>
      <w:r>
        <w:rPr>
          <w:rFonts w:hint="eastAsia"/>
          <w:sz w:val="21"/>
          <w:szCs w:val="21"/>
        </w:rPr>
        <w:br w:type="textWrapping"/>
      </w:r>
      <w:r>
        <w:rPr>
          <w:rFonts w:hint="eastAsia"/>
          <w:sz w:val="21"/>
          <w:szCs w:val="21"/>
        </w:rPr>
        <w:t>　　（四）其他依照法律、法规和国家有关规定应当主动公开的。</w:t>
      </w:r>
      <w:r>
        <w:rPr>
          <w:rFonts w:hint="eastAsia"/>
          <w:sz w:val="21"/>
          <w:szCs w:val="21"/>
        </w:rPr>
        <w:br w:type="textWrapping"/>
      </w:r>
      <w:r>
        <w:rPr>
          <w:rFonts w:hint="eastAsia"/>
          <w:sz w:val="21"/>
          <w:szCs w:val="21"/>
        </w:rPr>
        <w:t>　　</w:t>
      </w:r>
      <w:r>
        <w:rPr>
          <w:rFonts w:hint="eastAsia" w:ascii="黑体" w:hAnsi="黑体" w:eastAsia="黑体"/>
          <w:sz w:val="21"/>
          <w:szCs w:val="21"/>
        </w:rPr>
        <w:t>第十条</w:t>
      </w:r>
      <w:r>
        <w:rPr>
          <w:rFonts w:hint="eastAsia"/>
          <w:sz w:val="21"/>
          <w:szCs w:val="21"/>
        </w:rPr>
        <w:t>　县级以上各级人民政府及其部门应当依照本条例第九条的规定，在各自职责范围内确定主动公开的政府信息的具体内容，并重点公开下列政府信息：</w:t>
      </w:r>
      <w:r>
        <w:rPr>
          <w:rFonts w:hint="eastAsia"/>
          <w:sz w:val="21"/>
          <w:szCs w:val="21"/>
        </w:rPr>
        <w:br w:type="textWrapping"/>
      </w:r>
      <w:r>
        <w:rPr>
          <w:rFonts w:hint="eastAsia"/>
          <w:sz w:val="21"/>
          <w:szCs w:val="21"/>
        </w:rPr>
        <w:t>　　（一）行政法规、规章和规范性文件；</w:t>
      </w:r>
      <w:r>
        <w:rPr>
          <w:rFonts w:hint="eastAsia"/>
          <w:sz w:val="21"/>
          <w:szCs w:val="21"/>
        </w:rPr>
        <w:br w:type="textWrapping"/>
      </w:r>
      <w:r>
        <w:rPr>
          <w:rFonts w:hint="eastAsia"/>
          <w:sz w:val="21"/>
          <w:szCs w:val="21"/>
        </w:rPr>
        <w:t>　　（二）国民经济和社会发展规划、专项规划、区域规划及相关政策；</w:t>
      </w:r>
      <w:r>
        <w:rPr>
          <w:rFonts w:hint="eastAsia"/>
          <w:sz w:val="21"/>
          <w:szCs w:val="21"/>
        </w:rPr>
        <w:br w:type="textWrapping"/>
      </w:r>
      <w:r>
        <w:rPr>
          <w:rFonts w:hint="eastAsia"/>
          <w:sz w:val="21"/>
          <w:szCs w:val="21"/>
        </w:rPr>
        <w:t>　　（三）国民经济和社会发展统计信息；</w:t>
      </w:r>
      <w:r>
        <w:rPr>
          <w:rFonts w:hint="eastAsia"/>
          <w:sz w:val="21"/>
          <w:szCs w:val="21"/>
        </w:rPr>
        <w:br w:type="textWrapping"/>
      </w:r>
      <w:r>
        <w:rPr>
          <w:rFonts w:hint="eastAsia"/>
          <w:sz w:val="21"/>
          <w:szCs w:val="21"/>
        </w:rPr>
        <w:t>　　（四）财政预算、决算报告；</w:t>
      </w:r>
      <w:r>
        <w:rPr>
          <w:rFonts w:hint="eastAsia"/>
          <w:sz w:val="21"/>
          <w:szCs w:val="21"/>
        </w:rPr>
        <w:br w:type="textWrapping"/>
      </w:r>
      <w:r>
        <w:rPr>
          <w:rFonts w:hint="eastAsia"/>
          <w:sz w:val="21"/>
          <w:szCs w:val="21"/>
        </w:rPr>
        <w:t>　　（五）行政事业性收费的项目、依据、标准；</w:t>
      </w:r>
      <w:r>
        <w:rPr>
          <w:rFonts w:hint="eastAsia"/>
          <w:sz w:val="21"/>
          <w:szCs w:val="21"/>
        </w:rPr>
        <w:br w:type="textWrapping"/>
      </w:r>
      <w:r>
        <w:rPr>
          <w:rFonts w:hint="eastAsia"/>
          <w:sz w:val="21"/>
          <w:szCs w:val="21"/>
        </w:rPr>
        <w:t>　　（六）政府集中采购项目的目录、标准及实施情况；</w:t>
      </w:r>
      <w:r>
        <w:rPr>
          <w:rFonts w:hint="eastAsia"/>
          <w:sz w:val="21"/>
          <w:szCs w:val="21"/>
        </w:rPr>
        <w:br w:type="textWrapping"/>
      </w:r>
      <w:r>
        <w:rPr>
          <w:rFonts w:hint="eastAsia"/>
          <w:sz w:val="21"/>
          <w:szCs w:val="21"/>
        </w:rPr>
        <w:t>　　（七）行政许可的事项、依据、条件、数量、程序、期限以及申请行政许可需要提交的全部材料目录及办理情况；</w:t>
      </w:r>
      <w:r>
        <w:rPr>
          <w:rFonts w:hint="eastAsia"/>
          <w:sz w:val="21"/>
          <w:szCs w:val="21"/>
        </w:rPr>
        <w:br w:type="textWrapping"/>
      </w:r>
      <w:r>
        <w:rPr>
          <w:rFonts w:hint="eastAsia"/>
          <w:sz w:val="21"/>
          <w:szCs w:val="21"/>
        </w:rPr>
        <w:t>　　（八）重大建设项目的批准和实施情况；</w:t>
      </w:r>
      <w:r>
        <w:rPr>
          <w:rFonts w:hint="eastAsia"/>
          <w:sz w:val="21"/>
          <w:szCs w:val="21"/>
        </w:rPr>
        <w:br w:type="textWrapping"/>
      </w:r>
      <w:r>
        <w:rPr>
          <w:rFonts w:hint="eastAsia"/>
          <w:sz w:val="21"/>
          <w:szCs w:val="21"/>
        </w:rPr>
        <w:t>　　（九）扶贫、教育、医疗、社会保障、促进就业等方面的政策、措施及其实施情况；</w:t>
      </w:r>
      <w:r>
        <w:rPr>
          <w:rFonts w:hint="eastAsia"/>
          <w:sz w:val="21"/>
          <w:szCs w:val="21"/>
        </w:rPr>
        <w:br w:type="textWrapping"/>
      </w:r>
      <w:r>
        <w:rPr>
          <w:rFonts w:hint="eastAsia"/>
          <w:sz w:val="21"/>
          <w:szCs w:val="21"/>
        </w:rPr>
        <w:t>　　（十）突发公共事件的应急预案、预警信息及应对情况；</w:t>
      </w:r>
      <w:r>
        <w:rPr>
          <w:rFonts w:hint="eastAsia"/>
          <w:sz w:val="21"/>
          <w:szCs w:val="21"/>
        </w:rPr>
        <w:br w:type="textWrapping"/>
      </w:r>
      <w:r>
        <w:rPr>
          <w:rFonts w:hint="eastAsia"/>
          <w:sz w:val="21"/>
          <w:szCs w:val="21"/>
        </w:rPr>
        <w:t>　　（十一）环境保护、公共卫生、安全生产、食品药品、产品质量的监督检查情况。</w:t>
      </w:r>
      <w:r>
        <w:rPr>
          <w:rFonts w:hint="eastAsia"/>
          <w:sz w:val="21"/>
          <w:szCs w:val="21"/>
        </w:rPr>
        <w:br w:type="textWrapping"/>
      </w:r>
      <w:r>
        <w:rPr>
          <w:rFonts w:hint="eastAsia"/>
          <w:sz w:val="21"/>
          <w:szCs w:val="21"/>
        </w:rPr>
        <w:t>　　</w:t>
      </w:r>
      <w:r>
        <w:rPr>
          <w:rFonts w:hint="eastAsia" w:ascii="黑体" w:hAnsi="黑体" w:eastAsia="黑体"/>
          <w:sz w:val="21"/>
          <w:szCs w:val="21"/>
        </w:rPr>
        <w:t>第十一条</w:t>
      </w:r>
      <w:r>
        <w:rPr>
          <w:rFonts w:hint="eastAsia"/>
          <w:sz w:val="21"/>
          <w:szCs w:val="21"/>
        </w:rPr>
        <w:t>　设区的市级人民政府、县级人民政府及其部门重点公开的政府信息还应当包括下列内容：</w:t>
      </w:r>
      <w:r>
        <w:rPr>
          <w:rFonts w:hint="eastAsia"/>
          <w:sz w:val="21"/>
          <w:szCs w:val="21"/>
        </w:rPr>
        <w:br w:type="textWrapping"/>
      </w:r>
      <w:r>
        <w:rPr>
          <w:rFonts w:hint="eastAsia"/>
          <w:sz w:val="21"/>
          <w:szCs w:val="21"/>
        </w:rPr>
        <w:t>　　（一）城乡建设和管理的重大事项；</w:t>
      </w:r>
      <w:r>
        <w:rPr>
          <w:rFonts w:hint="eastAsia"/>
          <w:sz w:val="21"/>
          <w:szCs w:val="21"/>
        </w:rPr>
        <w:br w:type="textWrapping"/>
      </w:r>
      <w:r>
        <w:rPr>
          <w:rFonts w:hint="eastAsia"/>
          <w:sz w:val="21"/>
          <w:szCs w:val="21"/>
        </w:rPr>
        <w:t>　　（二）社会公益事业建设情况；</w:t>
      </w:r>
      <w:r>
        <w:rPr>
          <w:rFonts w:hint="eastAsia"/>
          <w:sz w:val="21"/>
          <w:szCs w:val="21"/>
        </w:rPr>
        <w:br w:type="textWrapping"/>
      </w:r>
      <w:r>
        <w:rPr>
          <w:rFonts w:hint="eastAsia"/>
          <w:sz w:val="21"/>
          <w:szCs w:val="21"/>
        </w:rPr>
        <w:t>　　（三）征收或者征用土地、房屋拆迁及其补偿、补助费用的发放、使用情况；</w:t>
      </w:r>
      <w:r>
        <w:rPr>
          <w:rFonts w:hint="eastAsia"/>
          <w:sz w:val="21"/>
          <w:szCs w:val="21"/>
        </w:rPr>
        <w:br w:type="textWrapping"/>
      </w:r>
      <w:r>
        <w:rPr>
          <w:rFonts w:hint="eastAsia"/>
          <w:sz w:val="21"/>
          <w:szCs w:val="21"/>
        </w:rPr>
        <w:t>　　（四）抢险救灾、优抚、救济、社会捐助等款物的管理、使用和分配情况。</w:t>
      </w:r>
      <w:r>
        <w:rPr>
          <w:rFonts w:hint="eastAsia"/>
          <w:sz w:val="21"/>
          <w:szCs w:val="21"/>
        </w:rPr>
        <w:br w:type="textWrapping"/>
      </w:r>
      <w:r>
        <w:rPr>
          <w:rFonts w:hint="eastAsia"/>
          <w:sz w:val="21"/>
          <w:szCs w:val="21"/>
        </w:rPr>
        <w:t>　　</w:t>
      </w:r>
      <w:r>
        <w:rPr>
          <w:rFonts w:hint="eastAsia" w:ascii="黑体" w:hAnsi="黑体" w:eastAsia="黑体"/>
          <w:sz w:val="21"/>
          <w:szCs w:val="21"/>
        </w:rPr>
        <w:t>第十二条</w:t>
      </w:r>
      <w:r>
        <w:rPr>
          <w:rFonts w:hint="eastAsia"/>
          <w:sz w:val="21"/>
          <w:szCs w:val="21"/>
        </w:rPr>
        <w:t>　乡（镇）人民政府应当依照本条例第九条的规定，在其职责范围内确定主动公开的政府信息的具体内容，并重点公开下列政府信息：</w:t>
      </w:r>
      <w:r>
        <w:rPr>
          <w:rFonts w:hint="eastAsia"/>
          <w:sz w:val="21"/>
          <w:szCs w:val="21"/>
        </w:rPr>
        <w:br w:type="textWrapping"/>
      </w:r>
      <w:r>
        <w:rPr>
          <w:rFonts w:hint="eastAsia"/>
          <w:sz w:val="21"/>
          <w:szCs w:val="21"/>
        </w:rPr>
        <w:t>　　（一）贯彻落实国家关于农村工作政策的情况；</w:t>
      </w:r>
      <w:r>
        <w:rPr>
          <w:rFonts w:hint="eastAsia"/>
          <w:sz w:val="21"/>
          <w:szCs w:val="21"/>
        </w:rPr>
        <w:br w:type="textWrapping"/>
      </w:r>
      <w:r>
        <w:rPr>
          <w:rFonts w:hint="eastAsia"/>
          <w:sz w:val="21"/>
          <w:szCs w:val="21"/>
        </w:rPr>
        <w:t>　　（二）财政收支、各类专项资金的管理和使用情况；</w:t>
      </w:r>
      <w:r>
        <w:rPr>
          <w:rFonts w:hint="eastAsia"/>
          <w:sz w:val="21"/>
          <w:szCs w:val="21"/>
        </w:rPr>
        <w:br w:type="textWrapping"/>
      </w:r>
      <w:r>
        <w:rPr>
          <w:rFonts w:hint="eastAsia"/>
          <w:sz w:val="21"/>
          <w:szCs w:val="21"/>
        </w:rPr>
        <w:t>　　（三）乡（镇）土地利用总体规划、宅基地使用的审核情况；</w:t>
      </w:r>
      <w:r>
        <w:rPr>
          <w:rFonts w:hint="eastAsia"/>
          <w:sz w:val="21"/>
          <w:szCs w:val="21"/>
        </w:rPr>
        <w:br w:type="textWrapping"/>
      </w:r>
      <w:r>
        <w:rPr>
          <w:rFonts w:hint="eastAsia"/>
          <w:sz w:val="21"/>
          <w:szCs w:val="21"/>
        </w:rPr>
        <w:t>　　（四）征收或者征用土地、房屋拆迁及其补偿、补助费用的发放、使用情况；</w:t>
      </w:r>
      <w:r>
        <w:rPr>
          <w:rFonts w:hint="eastAsia"/>
          <w:sz w:val="21"/>
          <w:szCs w:val="21"/>
        </w:rPr>
        <w:br w:type="textWrapping"/>
      </w:r>
      <w:r>
        <w:rPr>
          <w:rFonts w:hint="eastAsia"/>
          <w:sz w:val="21"/>
          <w:szCs w:val="21"/>
        </w:rPr>
        <w:t>　　（五）乡（镇）的债权债务、筹资筹劳情况；</w:t>
      </w:r>
      <w:r>
        <w:rPr>
          <w:rFonts w:hint="eastAsia"/>
          <w:sz w:val="21"/>
          <w:szCs w:val="21"/>
        </w:rPr>
        <w:br w:type="textWrapping"/>
      </w:r>
      <w:r>
        <w:rPr>
          <w:rFonts w:hint="eastAsia"/>
          <w:sz w:val="21"/>
          <w:szCs w:val="21"/>
        </w:rPr>
        <w:t>　　（六）抢险救灾、优抚、救济、社会捐助等款物的发放情况；</w:t>
      </w:r>
      <w:r>
        <w:rPr>
          <w:rFonts w:hint="eastAsia"/>
          <w:sz w:val="21"/>
          <w:szCs w:val="21"/>
        </w:rPr>
        <w:br w:type="textWrapping"/>
      </w:r>
      <w:r>
        <w:rPr>
          <w:rFonts w:hint="eastAsia"/>
          <w:sz w:val="21"/>
          <w:szCs w:val="21"/>
        </w:rPr>
        <w:t>　　（七）乡镇集体企业及其他乡镇经济实体承包、租赁、拍卖等情况；</w:t>
      </w:r>
      <w:r>
        <w:rPr>
          <w:rFonts w:hint="eastAsia"/>
          <w:sz w:val="21"/>
          <w:szCs w:val="21"/>
        </w:rPr>
        <w:br w:type="textWrapping"/>
      </w:r>
      <w:r>
        <w:rPr>
          <w:rFonts w:hint="eastAsia"/>
          <w:sz w:val="21"/>
          <w:szCs w:val="21"/>
        </w:rPr>
        <w:t>　　（八）执行计划生育政策的情况。</w:t>
      </w:r>
      <w:r>
        <w:rPr>
          <w:rFonts w:hint="eastAsia"/>
          <w:sz w:val="21"/>
          <w:szCs w:val="21"/>
        </w:rPr>
        <w:br w:type="textWrapping"/>
      </w:r>
      <w:r>
        <w:rPr>
          <w:rFonts w:hint="eastAsia"/>
          <w:sz w:val="21"/>
          <w:szCs w:val="21"/>
        </w:rPr>
        <w:t>　　</w:t>
      </w:r>
      <w:r>
        <w:rPr>
          <w:rFonts w:hint="eastAsia" w:ascii="黑体" w:hAnsi="黑体" w:eastAsia="黑体"/>
          <w:sz w:val="21"/>
          <w:szCs w:val="21"/>
        </w:rPr>
        <w:t>第十三条</w:t>
      </w:r>
      <w:r>
        <w:rPr>
          <w:rFonts w:hint="eastAsia"/>
          <w:sz w:val="21"/>
          <w:szCs w:val="21"/>
        </w:rPr>
        <w:t>　除本条例第九条、第十条、第十一条、第十二条规定的行政机关主动公开的政府信息外，公民、法人或者其他组织还可以根据自身生产、生活、科研等特殊需要，向国务院部门、地方各级人民政府及县级以上地方人民政府部门申请获取相关政府信息。</w:t>
      </w:r>
      <w:r>
        <w:rPr>
          <w:rFonts w:hint="eastAsia"/>
          <w:sz w:val="21"/>
          <w:szCs w:val="21"/>
        </w:rPr>
        <w:br w:type="textWrapping"/>
      </w:r>
      <w:r>
        <w:rPr>
          <w:rFonts w:hint="eastAsia"/>
          <w:sz w:val="21"/>
          <w:szCs w:val="21"/>
        </w:rPr>
        <w:t>　　</w:t>
      </w:r>
      <w:r>
        <w:rPr>
          <w:rFonts w:hint="eastAsia" w:ascii="黑体" w:hAnsi="黑体" w:eastAsia="黑体"/>
          <w:sz w:val="21"/>
          <w:szCs w:val="21"/>
        </w:rPr>
        <w:t>第十四条</w:t>
      </w:r>
      <w:r>
        <w:rPr>
          <w:rFonts w:hint="eastAsia"/>
          <w:sz w:val="21"/>
          <w:szCs w:val="21"/>
        </w:rPr>
        <w:t>　行政机关应当建立健全政府信息发布保密审查机制，明确审查的程序和责任。</w:t>
      </w:r>
      <w:r>
        <w:rPr>
          <w:rFonts w:hint="eastAsia"/>
          <w:sz w:val="21"/>
          <w:szCs w:val="21"/>
        </w:rPr>
        <w:br w:type="textWrapping"/>
      </w:r>
      <w:r>
        <w:rPr>
          <w:rFonts w:hint="eastAsia"/>
          <w:sz w:val="21"/>
          <w:szCs w:val="21"/>
        </w:rPr>
        <w:t>　　行政机关在公开政府信息前，应当依照《中华人民共和国保守国家秘密法》以及其他法律、法规和国家有关规定对拟公开的政府信息进行审查。</w:t>
      </w:r>
      <w:r>
        <w:rPr>
          <w:rFonts w:hint="eastAsia"/>
          <w:sz w:val="21"/>
          <w:szCs w:val="21"/>
        </w:rPr>
        <w:br w:type="textWrapping"/>
      </w:r>
      <w:r>
        <w:rPr>
          <w:rFonts w:hint="eastAsia"/>
          <w:sz w:val="21"/>
          <w:szCs w:val="21"/>
        </w:rPr>
        <w:t>　　行政机关对政府信息不能确定是否可以公开时，应当依照法律、法规和国家有关规定报有关主管部门或者同级保密工作部门确定。</w:t>
      </w:r>
      <w:r>
        <w:rPr>
          <w:rFonts w:hint="eastAsia"/>
          <w:sz w:val="21"/>
          <w:szCs w:val="21"/>
        </w:rPr>
        <w:br w:type="textWrapping"/>
      </w:r>
      <w:r>
        <w:rPr>
          <w:rFonts w:hint="eastAsia"/>
          <w:sz w:val="21"/>
          <w:szCs w:val="21"/>
        </w:rPr>
        <w:t>　　行政机关不得公开涉及国家秘密、商业秘密、个人隐私的政府信息。但是，经权利人同意公开或者行政机关认为不公开可能对公共利益造成重大影响的涉及商业秘密、个人隐私的政府信息，可以予以公开。</w:t>
      </w:r>
    </w:p>
    <w:p w14:paraId="59462CFD">
      <w:pPr>
        <w:pStyle w:val="35"/>
        <w:spacing w:before="0" w:beforeAutospacing="0" w:after="0" w:afterAutospacing="0"/>
        <w:jc w:val="center"/>
        <w:rPr>
          <w:sz w:val="21"/>
          <w:szCs w:val="21"/>
        </w:rPr>
      </w:pPr>
      <w:r>
        <w:rPr>
          <w:rFonts w:hint="eastAsia" w:ascii="黑体" w:hAnsi="黑体" w:eastAsia="黑体"/>
          <w:sz w:val="21"/>
          <w:szCs w:val="21"/>
        </w:rPr>
        <w:t>第三章　公开的方式和程序</w:t>
      </w:r>
    </w:p>
    <w:p w14:paraId="0C0EDF9C">
      <w:pPr>
        <w:pStyle w:val="35"/>
        <w:spacing w:before="0" w:beforeAutospacing="0" w:after="0" w:afterAutospacing="0"/>
        <w:rPr>
          <w:sz w:val="21"/>
          <w:szCs w:val="21"/>
        </w:rPr>
      </w:pPr>
      <w:r>
        <w:rPr>
          <w:rFonts w:hint="eastAsia"/>
          <w:sz w:val="21"/>
          <w:szCs w:val="21"/>
        </w:rPr>
        <w:t>　　</w:t>
      </w:r>
      <w:r>
        <w:rPr>
          <w:rFonts w:hint="eastAsia" w:ascii="黑体" w:hAnsi="黑体" w:eastAsia="黑体"/>
          <w:sz w:val="21"/>
          <w:szCs w:val="21"/>
        </w:rPr>
        <w:t>第十五条</w:t>
      </w:r>
      <w:r>
        <w:rPr>
          <w:rFonts w:hint="eastAsia"/>
          <w:sz w:val="21"/>
          <w:szCs w:val="21"/>
        </w:rPr>
        <w:t>　行政机关应当将主动公开的政府信息，通过政府公报、政府网站、新闻发布会以及报刊、广播、电视等便于公众知晓的方式公开。</w:t>
      </w:r>
      <w:r>
        <w:rPr>
          <w:rFonts w:hint="eastAsia"/>
          <w:sz w:val="21"/>
          <w:szCs w:val="21"/>
        </w:rPr>
        <w:br w:type="textWrapping"/>
      </w:r>
      <w:r>
        <w:rPr>
          <w:rFonts w:hint="eastAsia"/>
          <w:sz w:val="21"/>
          <w:szCs w:val="21"/>
        </w:rPr>
        <w:t>　　</w:t>
      </w:r>
      <w:r>
        <w:rPr>
          <w:rFonts w:hint="eastAsia" w:ascii="黑体" w:hAnsi="黑体" w:eastAsia="黑体"/>
          <w:sz w:val="21"/>
          <w:szCs w:val="21"/>
        </w:rPr>
        <w:t>第十六条</w:t>
      </w:r>
      <w:r>
        <w:rPr>
          <w:rFonts w:hint="eastAsia"/>
          <w:sz w:val="21"/>
          <w:szCs w:val="21"/>
        </w:rPr>
        <w:t>　各级人民政府应当在国家档案馆、公共图书馆设置政府信息查阅场所，并配备相应的设施、设备，为公民、法人或者其他组织获取政府信息提供便利。</w:t>
      </w:r>
      <w:r>
        <w:rPr>
          <w:rFonts w:hint="eastAsia"/>
          <w:sz w:val="21"/>
          <w:szCs w:val="21"/>
        </w:rPr>
        <w:br w:type="textWrapping"/>
      </w:r>
      <w:r>
        <w:rPr>
          <w:rFonts w:hint="eastAsia"/>
          <w:sz w:val="21"/>
          <w:szCs w:val="21"/>
        </w:rPr>
        <w:t>　　行政机关可以根据需要设立公共查阅室、资料索取点、信息公告栏、电子信息屏等场所、设施，公开政府信息。</w:t>
      </w:r>
      <w:r>
        <w:rPr>
          <w:rFonts w:hint="eastAsia"/>
          <w:sz w:val="21"/>
          <w:szCs w:val="21"/>
        </w:rPr>
        <w:br w:type="textWrapping"/>
      </w:r>
      <w:r>
        <w:rPr>
          <w:rFonts w:hint="eastAsia"/>
          <w:sz w:val="21"/>
          <w:szCs w:val="21"/>
        </w:rPr>
        <w:t>　　行政机关应当及时向国家档案馆、公共图书馆提供主动公开的政府信息。</w:t>
      </w:r>
      <w:r>
        <w:rPr>
          <w:rFonts w:hint="eastAsia"/>
          <w:sz w:val="21"/>
          <w:szCs w:val="21"/>
        </w:rPr>
        <w:br w:type="textWrapping"/>
      </w:r>
      <w:r>
        <w:rPr>
          <w:rFonts w:hint="eastAsia"/>
          <w:sz w:val="21"/>
          <w:szCs w:val="21"/>
        </w:rPr>
        <w:t>　　</w:t>
      </w:r>
      <w:r>
        <w:rPr>
          <w:rFonts w:hint="eastAsia" w:ascii="黑体" w:hAnsi="黑体" w:eastAsia="黑体"/>
          <w:sz w:val="21"/>
          <w:szCs w:val="21"/>
        </w:rPr>
        <w:t>第十七条</w:t>
      </w:r>
      <w:r>
        <w:rPr>
          <w:rFonts w:hint="eastAsia"/>
          <w:sz w:val="21"/>
          <w:szCs w:val="21"/>
        </w:rPr>
        <w:t>　行政机关制作的政府信息，由制作该政府信息的行政机关负责公开；行政机关从公民、法人或者其他组织获取的政府信息，由保存该政府信息的行政机关负责公开。法律、法规对政府信息公开的权限另有规定的，从其规定。</w:t>
      </w:r>
      <w:r>
        <w:rPr>
          <w:rFonts w:hint="eastAsia"/>
          <w:sz w:val="21"/>
          <w:szCs w:val="21"/>
        </w:rPr>
        <w:br w:type="textWrapping"/>
      </w:r>
      <w:r>
        <w:rPr>
          <w:rFonts w:hint="eastAsia"/>
          <w:sz w:val="21"/>
          <w:szCs w:val="21"/>
        </w:rPr>
        <w:t>　　</w:t>
      </w:r>
      <w:r>
        <w:rPr>
          <w:rFonts w:hint="eastAsia" w:ascii="黑体" w:hAnsi="黑体" w:eastAsia="黑体"/>
          <w:sz w:val="21"/>
          <w:szCs w:val="21"/>
        </w:rPr>
        <w:t>第十八条</w:t>
      </w:r>
      <w:r>
        <w:rPr>
          <w:rFonts w:hint="eastAsia"/>
          <w:sz w:val="21"/>
          <w:szCs w:val="21"/>
        </w:rPr>
        <w:t>　属于主动公开范围的政府信息，应当自该政府信息形成或者变更之日起20个工作日内予以公开。法律、法规对政府信息公开的期限另有规定的，从其规定。</w:t>
      </w:r>
      <w:r>
        <w:rPr>
          <w:rFonts w:hint="eastAsia"/>
          <w:sz w:val="21"/>
          <w:szCs w:val="21"/>
        </w:rPr>
        <w:br w:type="textWrapping"/>
      </w:r>
      <w:r>
        <w:rPr>
          <w:rFonts w:hint="eastAsia"/>
          <w:sz w:val="21"/>
          <w:szCs w:val="21"/>
        </w:rPr>
        <w:t>　　</w:t>
      </w:r>
      <w:r>
        <w:rPr>
          <w:rFonts w:hint="eastAsia" w:ascii="黑体" w:hAnsi="黑体" w:eastAsia="黑体"/>
          <w:sz w:val="21"/>
          <w:szCs w:val="21"/>
        </w:rPr>
        <w:t>第十九条</w:t>
      </w:r>
      <w:r>
        <w:rPr>
          <w:rFonts w:hint="eastAsia"/>
          <w:sz w:val="21"/>
          <w:szCs w:val="21"/>
        </w:rPr>
        <w:t>　行政机关应当编制、公布政府信息公开指南和政府信息公开目录，并及时更新。</w:t>
      </w:r>
      <w:r>
        <w:rPr>
          <w:rFonts w:hint="eastAsia"/>
          <w:sz w:val="21"/>
          <w:szCs w:val="21"/>
        </w:rPr>
        <w:br w:type="textWrapping"/>
      </w:r>
      <w:r>
        <w:rPr>
          <w:rFonts w:hint="eastAsia"/>
          <w:sz w:val="21"/>
          <w:szCs w:val="21"/>
        </w:rPr>
        <w:t>　　政府信息公开指南，应当包括政府信息的分类、编排体系、获取方式，政府信息公开工作机构的名称、办公地址、办公时间、联系电话、传真号码、电子邮箱等内容。</w:t>
      </w:r>
      <w:r>
        <w:rPr>
          <w:rFonts w:hint="eastAsia"/>
          <w:sz w:val="21"/>
          <w:szCs w:val="21"/>
        </w:rPr>
        <w:br w:type="textWrapping"/>
      </w:r>
      <w:r>
        <w:rPr>
          <w:rFonts w:hint="eastAsia"/>
          <w:sz w:val="21"/>
          <w:szCs w:val="21"/>
        </w:rPr>
        <w:t>　　政府信息公开目录，应当包括政府信息的索引、名称、内容概述、生成日期等内容。</w:t>
      </w:r>
      <w:r>
        <w:rPr>
          <w:rFonts w:hint="eastAsia"/>
          <w:sz w:val="21"/>
          <w:szCs w:val="21"/>
        </w:rPr>
        <w:br w:type="textWrapping"/>
      </w:r>
      <w:r>
        <w:rPr>
          <w:rFonts w:hint="eastAsia"/>
          <w:sz w:val="21"/>
          <w:szCs w:val="21"/>
        </w:rPr>
        <w:t>　　</w:t>
      </w:r>
      <w:r>
        <w:rPr>
          <w:rFonts w:hint="eastAsia" w:ascii="黑体" w:hAnsi="黑体" w:eastAsia="黑体"/>
          <w:sz w:val="21"/>
          <w:szCs w:val="21"/>
        </w:rPr>
        <w:t>第二十条</w:t>
      </w:r>
      <w:r>
        <w:rPr>
          <w:rFonts w:hint="eastAsia"/>
          <w:sz w:val="21"/>
          <w:szCs w:val="21"/>
        </w:rPr>
        <w:t>　公民、法人或者其他组织依照本条例第十三条规定向行政机关申请获取政府信息的，应当采用书面形式（包括数据电文形式）；采用书面形式确有困难的，申请人可以口头提出，由受理该申请的行政机关代为填写政府信息公开申请。</w:t>
      </w:r>
      <w:r>
        <w:rPr>
          <w:rFonts w:hint="eastAsia"/>
          <w:sz w:val="21"/>
          <w:szCs w:val="21"/>
        </w:rPr>
        <w:br w:type="textWrapping"/>
      </w:r>
      <w:r>
        <w:rPr>
          <w:rFonts w:hint="eastAsia"/>
          <w:sz w:val="21"/>
          <w:szCs w:val="21"/>
        </w:rPr>
        <w:t>　　政府信息公开申请应当包括下列内容：</w:t>
      </w:r>
      <w:r>
        <w:rPr>
          <w:rFonts w:hint="eastAsia"/>
          <w:sz w:val="21"/>
          <w:szCs w:val="21"/>
        </w:rPr>
        <w:br w:type="textWrapping"/>
      </w:r>
      <w:r>
        <w:rPr>
          <w:rFonts w:hint="eastAsia"/>
          <w:sz w:val="21"/>
          <w:szCs w:val="21"/>
        </w:rPr>
        <w:t>　　（一）申请人的姓名或者名称、联系方式；</w:t>
      </w:r>
      <w:r>
        <w:rPr>
          <w:rFonts w:hint="eastAsia"/>
          <w:sz w:val="21"/>
          <w:szCs w:val="21"/>
        </w:rPr>
        <w:br w:type="textWrapping"/>
      </w:r>
      <w:r>
        <w:rPr>
          <w:rFonts w:hint="eastAsia"/>
          <w:sz w:val="21"/>
          <w:szCs w:val="21"/>
        </w:rPr>
        <w:t>　　（二）申请公开的政府信息的内容描述；</w:t>
      </w:r>
      <w:r>
        <w:rPr>
          <w:rFonts w:hint="eastAsia"/>
          <w:sz w:val="21"/>
          <w:szCs w:val="21"/>
        </w:rPr>
        <w:br w:type="textWrapping"/>
      </w:r>
      <w:r>
        <w:rPr>
          <w:rFonts w:hint="eastAsia"/>
          <w:sz w:val="21"/>
          <w:szCs w:val="21"/>
        </w:rPr>
        <w:t>　　（三）申请公开的政府信息的形式要求。</w:t>
      </w:r>
      <w:r>
        <w:rPr>
          <w:rFonts w:hint="eastAsia"/>
          <w:sz w:val="21"/>
          <w:szCs w:val="21"/>
        </w:rPr>
        <w:br w:type="textWrapping"/>
      </w:r>
      <w:r>
        <w:rPr>
          <w:rFonts w:hint="eastAsia"/>
          <w:sz w:val="21"/>
          <w:szCs w:val="21"/>
        </w:rPr>
        <w:t>　　</w:t>
      </w:r>
      <w:r>
        <w:rPr>
          <w:rFonts w:hint="eastAsia" w:ascii="黑体" w:hAnsi="黑体" w:eastAsia="黑体"/>
          <w:sz w:val="21"/>
          <w:szCs w:val="21"/>
        </w:rPr>
        <w:t>第二十一条</w:t>
      </w:r>
      <w:r>
        <w:rPr>
          <w:rFonts w:hint="eastAsia"/>
          <w:sz w:val="21"/>
          <w:szCs w:val="21"/>
        </w:rPr>
        <w:t>　对申请公开的政府信息，行政机关根据下列情况分别作出答复：</w:t>
      </w:r>
      <w:r>
        <w:rPr>
          <w:rFonts w:hint="eastAsia"/>
          <w:sz w:val="21"/>
          <w:szCs w:val="21"/>
        </w:rPr>
        <w:br w:type="textWrapping"/>
      </w:r>
      <w:r>
        <w:rPr>
          <w:rFonts w:hint="eastAsia"/>
          <w:sz w:val="21"/>
          <w:szCs w:val="21"/>
        </w:rPr>
        <w:t>　　（一）属于公开范围的，应当告知申请人获取该政府信息的方式和途径；</w:t>
      </w:r>
      <w:r>
        <w:rPr>
          <w:rFonts w:hint="eastAsia"/>
          <w:sz w:val="21"/>
          <w:szCs w:val="21"/>
        </w:rPr>
        <w:br w:type="textWrapping"/>
      </w:r>
      <w:r>
        <w:rPr>
          <w:rFonts w:hint="eastAsia"/>
          <w:sz w:val="21"/>
          <w:szCs w:val="21"/>
        </w:rPr>
        <w:t>　　（二）属于不予公开范围的，应当告知申请人并说明理由；</w:t>
      </w:r>
      <w:r>
        <w:rPr>
          <w:rFonts w:hint="eastAsia"/>
          <w:sz w:val="21"/>
          <w:szCs w:val="21"/>
        </w:rPr>
        <w:br w:type="textWrapping"/>
      </w:r>
      <w:r>
        <w:rPr>
          <w:rFonts w:hint="eastAsia"/>
          <w:sz w:val="21"/>
          <w:szCs w:val="21"/>
        </w:rPr>
        <w:t>　　（三）依法不属于本行政机关公开或者该政府信息不存在的，应当告知申请人，对能够确定该政府信息的公开机关的，应当告知申请人该行政机关的名称、联系方式；</w:t>
      </w:r>
      <w:r>
        <w:rPr>
          <w:rFonts w:hint="eastAsia"/>
          <w:sz w:val="21"/>
          <w:szCs w:val="21"/>
        </w:rPr>
        <w:br w:type="textWrapping"/>
      </w:r>
      <w:r>
        <w:rPr>
          <w:rFonts w:hint="eastAsia"/>
          <w:sz w:val="21"/>
          <w:szCs w:val="21"/>
        </w:rPr>
        <w:t>　　（四）申请内容不明确的，应当告知申请人作出更改、补充。</w:t>
      </w:r>
      <w:r>
        <w:rPr>
          <w:rFonts w:hint="eastAsia"/>
          <w:sz w:val="21"/>
          <w:szCs w:val="21"/>
        </w:rPr>
        <w:br w:type="textWrapping"/>
      </w:r>
      <w:r>
        <w:rPr>
          <w:rFonts w:hint="eastAsia"/>
          <w:sz w:val="21"/>
          <w:szCs w:val="21"/>
        </w:rPr>
        <w:t>　　</w:t>
      </w:r>
      <w:r>
        <w:rPr>
          <w:rFonts w:hint="eastAsia" w:ascii="黑体" w:hAnsi="黑体" w:eastAsia="黑体"/>
          <w:sz w:val="21"/>
          <w:szCs w:val="21"/>
        </w:rPr>
        <w:t>第二十二条</w:t>
      </w:r>
      <w:r>
        <w:rPr>
          <w:rFonts w:hint="eastAsia"/>
          <w:sz w:val="21"/>
          <w:szCs w:val="21"/>
        </w:rPr>
        <w:t>　申请公开的政府信息中含有不应当公开的内容，但是能够作区分处理的，行政机关应当向申请人提供可以公开的信息内容。</w:t>
      </w:r>
      <w:r>
        <w:rPr>
          <w:rFonts w:hint="eastAsia"/>
          <w:sz w:val="21"/>
          <w:szCs w:val="21"/>
        </w:rPr>
        <w:br w:type="textWrapping"/>
      </w:r>
      <w:r>
        <w:rPr>
          <w:rFonts w:hint="eastAsia"/>
          <w:sz w:val="21"/>
          <w:szCs w:val="21"/>
        </w:rPr>
        <w:t>　　</w:t>
      </w:r>
      <w:r>
        <w:rPr>
          <w:rFonts w:hint="eastAsia" w:ascii="黑体" w:hAnsi="黑体" w:eastAsia="黑体"/>
          <w:sz w:val="21"/>
          <w:szCs w:val="21"/>
        </w:rPr>
        <w:t>第二十三条</w:t>
      </w:r>
      <w:r>
        <w:rPr>
          <w:rFonts w:hint="eastAsia"/>
          <w:sz w:val="21"/>
          <w:szCs w:val="21"/>
        </w:rPr>
        <w:t>　行政机关认为申请公开的政府信息涉及商业秘密、个人隐私，公开后可能损害第三方合法权益的，应当书面征求第三方的意见；第三方不同意公开的，不得公开。但是，行政机关认为不公开可能对公共利益造成重大影响的，应当予以公开，并将决定公开的政府信息内容和理由书面通知第三方。</w:t>
      </w:r>
      <w:r>
        <w:rPr>
          <w:rFonts w:hint="eastAsia"/>
          <w:sz w:val="21"/>
          <w:szCs w:val="21"/>
        </w:rPr>
        <w:br w:type="textWrapping"/>
      </w:r>
      <w:r>
        <w:rPr>
          <w:rFonts w:hint="eastAsia"/>
          <w:sz w:val="21"/>
          <w:szCs w:val="21"/>
        </w:rPr>
        <w:t>　　</w:t>
      </w:r>
      <w:r>
        <w:rPr>
          <w:rFonts w:hint="eastAsia" w:ascii="黑体" w:hAnsi="黑体" w:eastAsia="黑体"/>
          <w:sz w:val="21"/>
          <w:szCs w:val="21"/>
        </w:rPr>
        <w:t>第二十四条</w:t>
      </w:r>
      <w:r>
        <w:rPr>
          <w:rFonts w:hint="eastAsia"/>
          <w:sz w:val="21"/>
          <w:szCs w:val="21"/>
        </w:rPr>
        <w:t>　行政机关收到政府信息公开申请，能够当场答复的，应当当场予以答复。</w:t>
      </w:r>
      <w:r>
        <w:rPr>
          <w:rFonts w:hint="eastAsia"/>
          <w:sz w:val="21"/>
          <w:szCs w:val="21"/>
        </w:rPr>
        <w:br w:type="textWrapping"/>
      </w:r>
      <w:r>
        <w:rPr>
          <w:rFonts w:hint="eastAsia"/>
          <w:sz w:val="21"/>
          <w:szCs w:val="21"/>
        </w:rPr>
        <w:t>　　行政机关不能当场答复的，应当自收到申请之日起15个工作日内予以答复；如需延长答复期限的，应当经政府信息公开工作机构负责人同意，并告知申请人，延长答复的期限最长不得超过15个工作日。</w:t>
      </w:r>
      <w:r>
        <w:rPr>
          <w:rFonts w:hint="eastAsia"/>
          <w:sz w:val="21"/>
          <w:szCs w:val="21"/>
        </w:rPr>
        <w:br w:type="textWrapping"/>
      </w:r>
      <w:r>
        <w:rPr>
          <w:rFonts w:hint="eastAsia"/>
          <w:sz w:val="21"/>
          <w:szCs w:val="21"/>
        </w:rPr>
        <w:t>　　申请公开的政府信息涉及第三方权益的，行政机关征求第三方意见所需时间不计算在本条第二款规定的期限内。</w:t>
      </w:r>
      <w:r>
        <w:rPr>
          <w:rFonts w:hint="eastAsia"/>
          <w:sz w:val="21"/>
          <w:szCs w:val="21"/>
        </w:rPr>
        <w:br w:type="textWrapping"/>
      </w:r>
      <w:r>
        <w:rPr>
          <w:rFonts w:hint="eastAsia"/>
          <w:sz w:val="21"/>
          <w:szCs w:val="21"/>
        </w:rPr>
        <w:t>　　</w:t>
      </w:r>
      <w:r>
        <w:rPr>
          <w:rFonts w:hint="eastAsia" w:ascii="黑体" w:hAnsi="黑体" w:eastAsia="黑体"/>
          <w:sz w:val="21"/>
          <w:szCs w:val="21"/>
        </w:rPr>
        <w:t>第二十五条</w:t>
      </w:r>
      <w:r>
        <w:rPr>
          <w:rFonts w:hint="eastAsia"/>
          <w:sz w:val="21"/>
          <w:szCs w:val="21"/>
        </w:rPr>
        <w:t>　公民、法人或者其他组织向行政机关申请提供与其自身相关的税费缴纳、社会保障、医疗卫生等政府信息的，应当出示有效身份证件或者证明文件。</w:t>
      </w:r>
      <w:r>
        <w:rPr>
          <w:rFonts w:hint="eastAsia"/>
          <w:sz w:val="21"/>
          <w:szCs w:val="21"/>
        </w:rPr>
        <w:br w:type="textWrapping"/>
      </w:r>
      <w:r>
        <w:rPr>
          <w:rFonts w:hint="eastAsia"/>
          <w:sz w:val="21"/>
          <w:szCs w:val="21"/>
        </w:rPr>
        <w:t>　　公民、法人或者其他组织有证据证明行政机关提供的与其自身相关的政府信息记录不准确的，有权要求该行政机关予以更正。该行政机关无权更正的，应当转送有权更正的行政机关处理，并告知申请人。</w:t>
      </w:r>
      <w:r>
        <w:rPr>
          <w:rFonts w:hint="eastAsia"/>
          <w:sz w:val="21"/>
          <w:szCs w:val="21"/>
        </w:rPr>
        <w:br w:type="textWrapping"/>
      </w:r>
      <w:r>
        <w:rPr>
          <w:rFonts w:hint="eastAsia"/>
          <w:sz w:val="21"/>
          <w:szCs w:val="21"/>
        </w:rPr>
        <w:t>　　</w:t>
      </w:r>
      <w:r>
        <w:rPr>
          <w:rFonts w:hint="eastAsia" w:ascii="黑体" w:hAnsi="黑体" w:eastAsia="黑体"/>
          <w:sz w:val="21"/>
          <w:szCs w:val="21"/>
        </w:rPr>
        <w:t>第二十六条</w:t>
      </w:r>
      <w:r>
        <w:rPr>
          <w:rFonts w:hint="eastAsia"/>
          <w:sz w:val="21"/>
          <w:szCs w:val="21"/>
        </w:rPr>
        <w:t>　行政机关依申请公开政府信息，应当按照申请人要求的形式予以提供；无法按照申请人要求的形式提供的，可以通过安排申请人查阅相关资料、提供复制件或者其他适当形式提供。</w:t>
      </w:r>
      <w:r>
        <w:rPr>
          <w:rFonts w:hint="eastAsia"/>
          <w:sz w:val="21"/>
          <w:szCs w:val="21"/>
        </w:rPr>
        <w:br w:type="textWrapping"/>
      </w:r>
      <w:r>
        <w:rPr>
          <w:rFonts w:hint="eastAsia"/>
          <w:sz w:val="21"/>
          <w:szCs w:val="21"/>
        </w:rPr>
        <w:t>　　</w:t>
      </w:r>
      <w:r>
        <w:rPr>
          <w:rFonts w:hint="eastAsia" w:ascii="黑体" w:hAnsi="黑体" w:eastAsia="黑体"/>
          <w:sz w:val="21"/>
          <w:szCs w:val="21"/>
        </w:rPr>
        <w:t>第二十七条</w:t>
      </w:r>
      <w:r>
        <w:rPr>
          <w:rFonts w:hint="eastAsia"/>
          <w:sz w:val="21"/>
          <w:szCs w:val="21"/>
        </w:rPr>
        <w:t>　行政机关依申请提供政府信息，除可以收取检索、复制、邮寄等成本费用外，不得收取其他费用。行政机关不得通过其他组织、个人以有偿服务方式提供政府信息。</w:t>
      </w:r>
      <w:r>
        <w:rPr>
          <w:rFonts w:hint="eastAsia"/>
          <w:sz w:val="21"/>
          <w:szCs w:val="21"/>
        </w:rPr>
        <w:br w:type="textWrapping"/>
      </w:r>
      <w:r>
        <w:rPr>
          <w:rFonts w:hint="eastAsia"/>
          <w:sz w:val="21"/>
          <w:szCs w:val="21"/>
        </w:rPr>
        <w:t>　　行政机关收取检索、复制、邮寄等成本费用的标准由国务院价格主管部门会同国务院财政部门制定。</w:t>
      </w:r>
      <w:r>
        <w:rPr>
          <w:rFonts w:hint="eastAsia"/>
          <w:sz w:val="21"/>
          <w:szCs w:val="21"/>
        </w:rPr>
        <w:br w:type="textWrapping"/>
      </w:r>
      <w:r>
        <w:rPr>
          <w:rFonts w:hint="eastAsia"/>
          <w:sz w:val="21"/>
          <w:szCs w:val="21"/>
        </w:rPr>
        <w:t>　　</w:t>
      </w:r>
      <w:r>
        <w:rPr>
          <w:rFonts w:hint="eastAsia" w:ascii="黑体" w:hAnsi="黑体" w:eastAsia="黑体"/>
          <w:sz w:val="21"/>
          <w:szCs w:val="21"/>
        </w:rPr>
        <w:t>第二十八条</w:t>
      </w:r>
      <w:r>
        <w:rPr>
          <w:rFonts w:hint="eastAsia"/>
          <w:sz w:val="21"/>
          <w:szCs w:val="21"/>
        </w:rPr>
        <w:t>　申请公开政府信息的公民确有经济困难的，经本人申请、政府信息公开工作机构负责人审核同意，可以减免相关费用。</w:t>
      </w:r>
      <w:r>
        <w:rPr>
          <w:rFonts w:hint="eastAsia"/>
          <w:sz w:val="21"/>
          <w:szCs w:val="21"/>
        </w:rPr>
        <w:br w:type="textWrapping"/>
      </w:r>
      <w:r>
        <w:rPr>
          <w:rFonts w:hint="eastAsia"/>
          <w:sz w:val="21"/>
          <w:szCs w:val="21"/>
        </w:rPr>
        <w:t>　　申请公开政府信息的公民存在阅读困难或者视听障碍的，行政机关应当为其提供必要的帮助。</w:t>
      </w:r>
    </w:p>
    <w:p w14:paraId="2176973A">
      <w:pPr>
        <w:pStyle w:val="35"/>
        <w:spacing w:before="0" w:beforeAutospacing="0" w:after="0" w:afterAutospacing="0"/>
        <w:jc w:val="center"/>
        <w:rPr>
          <w:sz w:val="21"/>
          <w:szCs w:val="21"/>
        </w:rPr>
      </w:pPr>
      <w:r>
        <w:rPr>
          <w:rFonts w:hint="eastAsia" w:ascii="黑体" w:hAnsi="黑体" w:eastAsia="黑体"/>
          <w:sz w:val="21"/>
          <w:szCs w:val="21"/>
        </w:rPr>
        <w:t>第四章　监督和保障</w:t>
      </w:r>
    </w:p>
    <w:p w14:paraId="3A1267B1">
      <w:pPr>
        <w:pStyle w:val="35"/>
        <w:spacing w:before="0" w:beforeAutospacing="0" w:after="0" w:afterAutospacing="0"/>
        <w:rPr>
          <w:sz w:val="21"/>
          <w:szCs w:val="21"/>
        </w:rPr>
      </w:pPr>
      <w:r>
        <w:rPr>
          <w:rFonts w:hint="eastAsia"/>
          <w:sz w:val="21"/>
          <w:szCs w:val="21"/>
        </w:rPr>
        <w:t>　　</w:t>
      </w:r>
      <w:r>
        <w:rPr>
          <w:rFonts w:hint="eastAsia" w:ascii="黑体" w:hAnsi="黑体" w:eastAsia="黑体"/>
          <w:sz w:val="21"/>
          <w:szCs w:val="21"/>
        </w:rPr>
        <w:t>第二十九条</w:t>
      </w:r>
      <w:r>
        <w:rPr>
          <w:rFonts w:hint="eastAsia"/>
          <w:sz w:val="21"/>
          <w:szCs w:val="21"/>
        </w:rPr>
        <w:t>　各级人民政府应当建立健全政府信息公开工作考核制度、社会评议制度和责任追究制度，定期对政府信息公开工作进行考核、评议。</w:t>
      </w:r>
      <w:r>
        <w:rPr>
          <w:rFonts w:hint="eastAsia"/>
          <w:sz w:val="21"/>
          <w:szCs w:val="21"/>
        </w:rPr>
        <w:br w:type="textWrapping"/>
      </w:r>
      <w:r>
        <w:rPr>
          <w:rFonts w:hint="eastAsia"/>
          <w:sz w:val="21"/>
          <w:szCs w:val="21"/>
        </w:rPr>
        <w:t>　　</w:t>
      </w:r>
      <w:r>
        <w:rPr>
          <w:rFonts w:hint="eastAsia" w:ascii="黑体" w:hAnsi="黑体" w:eastAsia="黑体"/>
          <w:sz w:val="21"/>
          <w:szCs w:val="21"/>
        </w:rPr>
        <w:t>第三十条</w:t>
      </w:r>
      <w:r>
        <w:rPr>
          <w:rFonts w:hint="eastAsia"/>
          <w:sz w:val="21"/>
          <w:szCs w:val="21"/>
        </w:rPr>
        <w:t>　政府信息公开工作主管部门和监察机关负责对行政机关政府信息公开的实施情况进行监督检查。</w:t>
      </w:r>
      <w:r>
        <w:rPr>
          <w:rFonts w:hint="eastAsia"/>
          <w:sz w:val="21"/>
          <w:szCs w:val="21"/>
        </w:rPr>
        <w:br w:type="textWrapping"/>
      </w:r>
      <w:r>
        <w:rPr>
          <w:rFonts w:hint="eastAsia"/>
          <w:sz w:val="21"/>
          <w:szCs w:val="21"/>
        </w:rPr>
        <w:t>　　</w:t>
      </w:r>
      <w:r>
        <w:rPr>
          <w:rFonts w:hint="eastAsia" w:ascii="黑体" w:hAnsi="黑体" w:eastAsia="黑体"/>
          <w:sz w:val="21"/>
          <w:szCs w:val="21"/>
        </w:rPr>
        <w:t>第三十一条</w:t>
      </w:r>
      <w:r>
        <w:rPr>
          <w:rFonts w:hint="eastAsia"/>
          <w:sz w:val="21"/>
          <w:szCs w:val="21"/>
        </w:rPr>
        <w:t>　各级行政机关应当在每年3月31日前公布本行政机关的政府信息公开工作年度报告。</w:t>
      </w:r>
      <w:r>
        <w:rPr>
          <w:rFonts w:hint="eastAsia"/>
          <w:sz w:val="21"/>
          <w:szCs w:val="21"/>
        </w:rPr>
        <w:br w:type="textWrapping"/>
      </w:r>
      <w:r>
        <w:rPr>
          <w:rFonts w:hint="eastAsia"/>
          <w:sz w:val="21"/>
          <w:szCs w:val="21"/>
        </w:rPr>
        <w:t>　　</w:t>
      </w:r>
      <w:r>
        <w:rPr>
          <w:rFonts w:hint="eastAsia" w:ascii="黑体" w:hAnsi="黑体" w:eastAsia="黑体"/>
          <w:sz w:val="21"/>
          <w:szCs w:val="21"/>
        </w:rPr>
        <w:t>第三十二条</w:t>
      </w:r>
      <w:r>
        <w:rPr>
          <w:rFonts w:hint="eastAsia"/>
          <w:sz w:val="21"/>
          <w:szCs w:val="21"/>
        </w:rPr>
        <w:t>　政府信息公开工作年度报告应当包括下列内容：</w:t>
      </w:r>
      <w:r>
        <w:rPr>
          <w:rFonts w:hint="eastAsia"/>
          <w:sz w:val="21"/>
          <w:szCs w:val="21"/>
        </w:rPr>
        <w:br w:type="textWrapping"/>
      </w:r>
      <w:r>
        <w:rPr>
          <w:rFonts w:hint="eastAsia"/>
          <w:sz w:val="21"/>
          <w:szCs w:val="21"/>
        </w:rPr>
        <w:t>　　（一）行政机关主动公开政府信息的情况；</w:t>
      </w:r>
      <w:r>
        <w:rPr>
          <w:rFonts w:hint="eastAsia"/>
          <w:sz w:val="21"/>
          <w:szCs w:val="21"/>
        </w:rPr>
        <w:br w:type="textWrapping"/>
      </w:r>
      <w:r>
        <w:rPr>
          <w:rFonts w:hint="eastAsia"/>
          <w:sz w:val="21"/>
          <w:szCs w:val="21"/>
        </w:rPr>
        <w:t>　　（二）行政机关依申请公开政府信息和不予公开政府信息的情况；</w:t>
      </w:r>
      <w:r>
        <w:rPr>
          <w:rFonts w:hint="eastAsia"/>
          <w:sz w:val="21"/>
          <w:szCs w:val="21"/>
        </w:rPr>
        <w:br w:type="textWrapping"/>
      </w:r>
      <w:r>
        <w:rPr>
          <w:rFonts w:hint="eastAsia"/>
          <w:sz w:val="21"/>
          <w:szCs w:val="21"/>
        </w:rPr>
        <w:t>　　（三）政府信息公开的收费及减免情况；</w:t>
      </w:r>
      <w:r>
        <w:rPr>
          <w:rFonts w:hint="eastAsia"/>
          <w:sz w:val="21"/>
          <w:szCs w:val="21"/>
        </w:rPr>
        <w:br w:type="textWrapping"/>
      </w:r>
      <w:r>
        <w:rPr>
          <w:rFonts w:hint="eastAsia"/>
          <w:sz w:val="21"/>
          <w:szCs w:val="21"/>
        </w:rPr>
        <w:t>　　（四）因政府信息公开申请行政复议、提起行政诉讼的情况；</w:t>
      </w:r>
      <w:r>
        <w:rPr>
          <w:rFonts w:hint="eastAsia"/>
          <w:sz w:val="21"/>
          <w:szCs w:val="21"/>
        </w:rPr>
        <w:br w:type="textWrapping"/>
      </w:r>
      <w:r>
        <w:rPr>
          <w:rFonts w:hint="eastAsia"/>
          <w:sz w:val="21"/>
          <w:szCs w:val="21"/>
        </w:rPr>
        <w:t>　　（五）政府信息公开工作存在的主要问题及改进情况；</w:t>
      </w:r>
      <w:r>
        <w:rPr>
          <w:rFonts w:hint="eastAsia"/>
          <w:sz w:val="21"/>
          <w:szCs w:val="21"/>
        </w:rPr>
        <w:br w:type="textWrapping"/>
      </w:r>
      <w:r>
        <w:rPr>
          <w:rFonts w:hint="eastAsia"/>
          <w:sz w:val="21"/>
          <w:szCs w:val="21"/>
        </w:rPr>
        <w:t>　　（六）其他需要报告的事项。</w:t>
      </w:r>
      <w:r>
        <w:rPr>
          <w:rFonts w:hint="eastAsia"/>
          <w:sz w:val="21"/>
          <w:szCs w:val="21"/>
        </w:rPr>
        <w:br w:type="textWrapping"/>
      </w:r>
      <w:r>
        <w:rPr>
          <w:rFonts w:hint="eastAsia"/>
          <w:sz w:val="21"/>
          <w:szCs w:val="21"/>
        </w:rPr>
        <w:t>　　</w:t>
      </w:r>
      <w:r>
        <w:rPr>
          <w:rFonts w:hint="eastAsia" w:ascii="黑体" w:hAnsi="黑体" w:eastAsia="黑体"/>
          <w:sz w:val="21"/>
          <w:szCs w:val="21"/>
        </w:rPr>
        <w:t>第三十三条</w:t>
      </w:r>
      <w:r>
        <w:rPr>
          <w:rFonts w:hint="eastAsia"/>
          <w:sz w:val="21"/>
          <w:szCs w:val="21"/>
        </w:rPr>
        <w:t>　公民、法人或者其他组织认为行政机关不依法履行政府信息公开义务的，可以向上级行政机关、监察机关或者政府信息公开工作主管部门举报。收到举报的机关应当予以调查处理。</w:t>
      </w:r>
      <w:r>
        <w:rPr>
          <w:rFonts w:hint="eastAsia"/>
          <w:sz w:val="21"/>
          <w:szCs w:val="21"/>
        </w:rPr>
        <w:br w:type="textWrapping"/>
      </w:r>
      <w:r>
        <w:rPr>
          <w:rFonts w:hint="eastAsia"/>
          <w:sz w:val="21"/>
          <w:szCs w:val="21"/>
        </w:rPr>
        <w:t>　　公民、法人或者其他组织认为行政机关在政府信息公开工作中的具体行政行为侵犯其合法权益的，可以依法申请行政复议或者提起行政诉讼。</w:t>
      </w:r>
      <w:r>
        <w:rPr>
          <w:rFonts w:hint="eastAsia"/>
          <w:sz w:val="21"/>
          <w:szCs w:val="21"/>
        </w:rPr>
        <w:br w:type="textWrapping"/>
      </w:r>
      <w:r>
        <w:rPr>
          <w:rFonts w:hint="eastAsia"/>
          <w:sz w:val="21"/>
          <w:szCs w:val="21"/>
        </w:rPr>
        <w:t>　　</w:t>
      </w:r>
      <w:r>
        <w:rPr>
          <w:rFonts w:hint="eastAsia" w:ascii="黑体" w:hAnsi="黑体" w:eastAsia="黑体"/>
          <w:sz w:val="21"/>
          <w:szCs w:val="21"/>
        </w:rPr>
        <w:t>第三十四条</w:t>
      </w:r>
      <w:r>
        <w:rPr>
          <w:rFonts w:hint="eastAsia"/>
          <w:sz w:val="21"/>
          <w:szCs w:val="21"/>
        </w:rPr>
        <w:t>　行政机关违反本条例的规定，未建立健全政府信息发布保密审查机制的，由监察机关、上一级行政机关责令改正；情节严重的，对行政机关主要负责人依法给予处分。</w:t>
      </w:r>
      <w:r>
        <w:rPr>
          <w:rFonts w:hint="eastAsia"/>
          <w:sz w:val="21"/>
          <w:szCs w:val="21"/>
        </w:rPr>
        <w:br w:type="textWrapping"/>
      </w:r>
      <w:r>
        <w:rPr>
          <w:rFonts w:hint="eastAsia"/>
          <w:sz w:val="21"/>
          <w:szCs w:val="21"/>
        </w:rPr>
        <w:t>　　</w:t>
      </w:r>
      <w:r>
        <w:rPr>
          <w:rFonts w:hint="eastAsia" w:ascii="黑体" w:hAnsi="黑体" w:eastAsia="黑体"/>
          <w:sz w:val="21"/>
          <w:szCs w:val="21"/>
        </w:rPr>
        <w:t>第三十五条</w:t>
      </w:r>
      <w:r>
        <w:rPr>
          <w:rFonts w:hint="eastAsia"/>
          <w:sz w:val="21"/>
          <w:szCs w:val="21"/>
        </w:rPr>
        <w:t>　行政机关违反本条例的规定，有下列情形之一的，由监察机关、上一级行政机关责令改正；情节严重的，对行政机关直接负责的主管人员和其他直接责任人员依法给予处分；构成犯罪的，依法追究刑事责任：</w:t>
      </w:r>
      <w:r>
        <w:rPr>
          <w:rFonts w:hint="eastAsia"/>
          <w:sz w:val="21"/>
          <w:szCs w:val="21"/>
        </w:rPr>
        <w:br w:type="textWrapping"/>
      </w:r>
      <w:r>
        <w:rPr>
          <w:rFonts w:hint="eastAsia"/>
          <w:sz w:val="21"/>
          <w:szCs w:val="21"/>
        </w:rPr>
        <w:t>　　（一）不依法履行政府信息公开义务的；</w:t>
      </w:r>
      <w:r>
        <w:rPr>
          <w:rFonts w:hint="eastAsia"/>
          <w:sz w:val="21"/>
          <w:szCs w:val="21"/>
        </w:rPr>
        <w:br w:type="textWrapping"/>
      </w:r>
      <w:r>
        <w:rPr>
          <w:rFonts w:hint="eastAsia"/>
          <w:sz w:val="21"/>
          <w:szCs w:val="21"/>
        </w:rPr>
        <w:t>　　（二）不及时更新公开的政府信息内容、政府信息公开指南和政府信息公开目录的；</w:t>
      </w:r>
      <w:r>
        <w:rPr>
          <w:rFonts w:hint="eastAsia"/>
          <w:sz w:val="21"/>
          <w:szCs w:val="21"/>
        </w:rPr>
        <w:br w:type="textWrapping"/>
      </w:r>
      <w:r>
        <w:rPr>
          <w:rFonts w:hint="eastAsia"/>
          <w:sz w:val="21"/>
          <w:szCs w:val="21"/>
        </w:rPr>
        <w:t>　　（三）违反规定收取费用的；</w:t>
      </w:r>
      <w:r>
        <w:rPr>
          <w:rFonts w:hint="eastAsia"/>
          <w:sz w:val="21"/>
          <w:szCs w:val="21"/>
        </w:rPr>
        <w:br w:type="textWrapping"/>
      </w:r>
      <w:r>
        <w:rPr>
          <w:rFonts w:hint="eastAsia"/>
          <w:sz w:val="21"/>
          <w:szCs w:val="21"/>
        </w:rPr>
        <w:t>　　（四）通过其他组织、个人以有偿服务方式提供政府信息的；</w:t>
      </w:r>
      <w:r>
        <w:rPr>
          <w:rFonts w:hint="eastAsia"/>
          <w:sz w:val="21"/>
          <w:szCs w:val="21"/>
        </w:rPr>
        <w:br w:type="textWrapping"/>
      </w:r>
      <w:r>
        <w:rPr>
          <w:rFonts w:hint="eastAsia"/>
          <w:sz w:val="21"/>
          <w:szCs w:val="21"/>
        </w:rPr>
        <w:t>　　（五）公开不应当公开的政府信息的；</w:t>
      </w:r>
      <w:r>
        <w:rPr>
          <w:rFonts w:hint="eastAsia"/>
          <w:sz w:val="21"/>
          <w:szCs w:val="21"/>
        </w:rPr>
        <w:br w:type="textWrapping"/>
      </w:r>
      <w:r>
        <w:rPr>
          <w:rFonts w:hint="eastAsia"/>
          <w:sz w:val="21"/>
          <w:szCs w:val="21"/>
        </w:rPr>
        <w:t>　　（六）违反本条例规定的其他行为。</w:t>
      </w:r>
    </w:p>
    <w:p w14:paraId="35CB9F79">
      <w:pPr>
        <w:pStyle w:val="35"/>
        <w:spacing w:before="0" w:beforeAutospacing="0" w:after="0" w:afterAutospacing="0"/>
        <w:jc w:val="center"/>
        <w:rPr>
          <w:sz w:val="21"/>
          <w:szCs w:val="21"/>
        </w:rPr>
      </w:pPr>
      <w:r>
        <w:rPr>
          <w:rFonts w:hint="eastAsia" w:ascii="黑体" w:hAnsi="黑体" w:eastAsia="黑体"/>
          <w:sz w:val="21"/>
          <w:szCs w:val="21"/>
        </w:rPr>
        <w:t>第五章　附　　则</w:t>
      </w:r>
    </w:p>
    <w:p w14:paraId="32F91644">
      <w:pPr>
        <w:tabs>
          <w:tab w:val="left" w:pos="1120"/>
        </w:tabs>
        <w:jc w:val="center"/>
        <w:rPr>
          <w:szCs w:val="21"/>
        </w:rPr>
      </w:pPr>
      <w:r>
        <w:rPr>
          <w:rFonts w:hint="eastAsia"/>
          <w:szCs w:val="21"/>
        </w:rPr>
        <w:t>　　</w:t>
      </w:r>
      <w:r>
        <w:rPr>
          <w:rFonts w:hint="eastAsia" w:ascii="黑体" w:hAnsi="黑体" w:eastAsia="黑体"/>
          <w:szCs w:val="21"/>
        </w:rPr>
        <w:t>第三十六条</w:t>
      </w:r>
      <w:r>
        <w:rPr>
          <w:rFonts w:hint="eastAsia"/>
          <w:szCs w:val="21"/>
        </w:rPr>
        <w:t>　法律、法规授权的具有管理公共事务职能的组织公开政府信息的活动，适用本条例。</w:t>
      </w:r>
      <w:r>
        <w:rPr>
          <w:rFonts w:hint="eastAsia"/>
          <w:szCs w:val="21"/>
        </w:rPr>
        <w:br w:type="textWrapping"/>
      </w:r>
      <w:r>
        <w:rPr>
          <w:rFonts w:hint="eastAsia"/>
          <w:szCs w:val="21"/>
        </w:rPr>
        <w:t>　　</w:t>
      </w:r>
      <w:r>
        <w:rPr>
          <w:rFonts w:hint="eastAsia" w:ascii="黑体" w:hAnsi="黑体" w:eastAsia="黑体"/>
          <w:szCs w:val="21"/>
        </w:rPr>
        <w:t>第三十七条</w:t>
      </w:r>
      <w:r>
        <w:rPr>
          <w:rFonts w:hint="eastAsia"/>
          <w:szCs w:val="21"/>
        </w:rPr>
        <w:t>　教育、医疗卫生、计划生育、供水、供电、供气、供热、环保、公共交通等与人民群众利益密切相关的公共企事业单位在提供社会公共服务过程中制作、获取的信息的公开，参照本条例执行，具体办法由国务院有关主管部门或者机构制定。</w:t>
      </w:r>
      <w:r>
        <w:rPr>
          <w:rFonts w:hint="eastAsia"/>
          <w:szCs w:val="21"/>
        </w:rPr>
        <w:br w:type="textWrapping"/>
      </w:r>
      <w:r>
        <w:rPr>
          <w:rFonts w:hint="eastAsia"/>
          <w:szCs w:val="21"/>
        </w:rPr>
        <w:t>　　</w:t>
      </w:r>
      <w:r>
        <w:rPr>
          <w:rFonts w:hint="eastAsia" w:ascii="黑体" w:hAnsi="黑体" w:eastAsia="黑体"/>
          <w:szCs w:val="21"/>
        </w:rPr>
        <w:t>第三十八条</w:t>
      </w:r>
      <w:r>
        <w:rPr>
          <w:rFonts w:hint="eastAsia"/>
          <w:szCs w:val="21"/>
        </w:rPr>
        <w:t>　本条例自2008年5月1日起施行。</w:t>
      </w:r>
    </w:p>
    <w:p w14:paraId="585E968C">
      <w:pPr>
        <w:tabs>
          <w:tab w:val="left" w:pos="1120"/>
        </w:tabs>
        <w:jc w:val="center"/>
        <w:rPr>
          <w:szCs w:val="21"/>
        </w:rPr>
      </w:pPr>
    </w:p>
    <w:p w14:paraId="1AFD9181">
      <w:pPr>
        <w:tabs>
          <w:tab w:val="left" w:pos="1120"/>
        </w:tabs>
        <w:jc w:val="center"/>
        <w:rPr>
          <w:szCs w:val="21"/>
        </w:rPr>
      </w:pPr>
    </w:p>
    <w:p w14:paraId="2D457F61">
      <w:pPr>
        <w:tabs>
          <w:tab w:val="left" w:pos="1120"/>
        </w:tabs>
        <w:jc w:val="center"/>
        <w:rPr>
          <w:szCs w:val="21"/>
        </w:rPr>
      </w:pPr>
    </w:p>
    <w:p w14:paraId="0A05F401">
      <w:pPr>
        <w:tabs>
          <w:tab w:val="left" w:pos="1120"/>
        </w:tabs>
        <w:jc w:val="center"/>
        <w:rPr>
          <w:szCs w:val="21"/>
        </w:rPr>
      </w:pPr>
    </w:p>
    <w:p w14:paraId="05A9969D">
      <w:pPr>
        <w:tabs>
          <w:tab w:val="left" w:pos="1120"/>
        </w:tabs>
        <w:jc w:val="center"/>
        <w:rPr>
          <w:rFonts w:ascii="宋体" w:hAnsi="宋体"/>
          <w:szCs w:val="21"/>
          <w:u w:val="single"/>
        </w:rPr>
      </w:pPr>
    </w:p>
    <w:p w14:paraId="2F22AFCD">
      <w:pPr>
        <w:tabs>
          <w:tab w:val="left" w:pos="1120"/>
        </w:tabs>
        <w:jc w:val="center"/>
        <w:rPr>
          <w:rFonts w:ascii="宋体" w:hAnsi="宋体"/>
          <w:szCs w:val="21"/>
          <w:u w:val="single"/>
        </w:rPr>
      </w:pPr>
    </w:p>
    <w:p w14:paraId="4CCAA59C">
      <w:pPr>
        <w:tabs>
          <w:tab w:val="left" w:pos="1120"/>
        </w:tabs>
        <w:jc w:val="center"/>
        <w:rPr>
          <w:rFonts w:ascii="宋体" w:hAnsi="宋体"/>
          <w:szCs w:val="21"/>
          <w:u w:val="single"/>
        </w:rPr>
      </w:pPr>
    </w:p>
    <w:p w14:paraId="0D511838">
      <w:pPr>
        <w:tabs>
          <w:tab w:val="left" w:pos="1120"/>
        </w:tabs>
        <w:jc w:val="center"/>
        <w:rPr>
          <w:rFonts w:ascii="宋体" w:hAnsi="宋体"/>
          <w:szCs w:val="21"/>
          <w:u w:val="single"/>
        </w:rPr>
      </w:pPr>
    </w:p>
    <w:p w14:paraId="6F673345">
      <w:pPr>
        <w:tabs>
          <w:tab w:val="left" w:pos="1120"/>
        </w:tabs>
        <w:jc w:val="center"/>
        <w:rPr>
          <w:rFonts w:ascii="宋体" w:hAnsi="宋体"/>
          <w:szCs w:val="21"/>
          <w:u w:val="single"/>
        </w:rPr>
      </w:pPr>
    </w:p>
    <w:p w14:paraId="1290E814">
      <w:pPr>
        <w:tabs>
          <w:tab w:val="left" w:pos="1120"/>
        </w:tabs>
        <w:jc w:val="center"/>
        <w:rPr>
          <w:rFonts w:ascii="宋体" w:hAnsi="宋体"/>
          <w:szCs w:val="21"/>
          <w:u w:val="single"/>
        </w:rPr>
      </w:pPr>
    </w:p>
    <w:p w14:paraId="2B25424B">
      <w:pPr>
        <w:tabs>
          <w:tab w:val="left" w:pos="1120"/>
        </w:tabs>
        <w:jc w:val="center"/>
        <w:rPr>
          <w:rFonts w:ascii="宋体" w:hAnsi="宋体"/>
          <w:szCs w:val="21"/>
          <w:u w:val="single"/>
        </w:rPr>
      </w:pPr>
    </w:p>
    <w:p w14:paraId="700EC773">
      <w:pPr>
        <w:tabs>
          <w:tab w:val="left" w:pos="1120"/>
        </w:tabs>
        <w:jc w:val="center"/>
        <w:rPr>
          <w:rFonts w:ascii="宋体" w:hAnsi="宋体"/>
          <w:szCs w:val="21"/>
          <w:u w:val="single"/>
        </w:rPr>
      </w:pPr>
    </w:p>
    <w:p w14:paraId="4861A413">
      <w:pPr>
        <w:tabs>
          <w:tab w:val="left" w:pos="1120"/>
        </w:tabs>
        <w:jc w:val="center"/>
        <w:rPr>
          <w:rFonts w:ascii="宋体" w:hAnsi="宋体"/>
          <w:szCs w:val="21"/>
          <w:u w:val="single"/>
        </w:rPr>
      </w:pPr>
    </w:p>
    <w:p w14:paraId="75805CE5">
      <w:pPr>
        <w:tabs>
          <w:tab w:val="left" w:pos="1120"/>
        </w:tabs>
        <w:jc w:val="center"/>
        <w:rPr>
          <w:rFonts w:ascii="宋体" w:hAnsi="宋体"/>
          <w:szCs w:val="21"/>
          <w:u w:val="single"/>
        </w:rPr>
      </w:pPr>
    </w:p>
    <w:p w14:paraId="0D103838">
      <w:pPr>
        <w:tabs>
          <w:tab w:val="left" w:pos="1120"/>
        </w:tabs>
        <w:jc w:val="center"/>
        <w:rPr>
          <w:rFonts w:ascii="宋体" w:hAnsi="宋体"/>
          <w:szCs w:val="21"/>
          <w:u w:val="single"/>
        </w:rPr>
      </w:pPr>
    </w:p>
    <w:p w14:paraId="2143127F">
      <w:pPr>
        <w:tabs>
          <w:tab w:val="left" w:pos="1120"/>
        </w:tabs>
        <w:jc w:val="center"/>
        <w:rPr>
          <w:rFonts w:ascii="宋体" w:hAnsi="宋体"/>
          <w:szCs w:val="21"/>
          <w:u w:val="single"/>
        </w:rPr>
      </w:pPr>
    </w:p>
    <w:p w14:paraId="08D16CD0">
      <w:pPr>
        <w:tabs>
          <w:tab w:val="left" w:pos="1120"/>
        </w:tabs>
        <w:jc w:val="center"/>
        <w:rPr>
          <w:rFonts w:ascii="宋体" w:hAnsi="宋体"/>
          <w:szCs w:val="21"/>
          <w:u w:val="single"/>
        </w:rPr>
      </w:pPr>
    </w:p>
    <w:p w14:paraId="7A244DAE">
      <w:pPr>
        <w:tabs>
          <w:tab w:val="left" w:pos="1120"/>
        </w:tabs>
        <w:jc w:val="center"/>
        <w:rPr>
          <w:rFonts w:ascii="宋体" w:hAnsi="宋体"/>
          <w:szCs w:val="21"/>
          <w:u w:val="single"/>
        </w:rPr>
      </w:pPr>
    </w:p>
    <w:p w14:paraId="5225F32E">
      <w:pPr>
        <w:tabs>
          <w:tab w:val="left" w:pos="1120"/>
        </w:tabs>
        <w:jc w:val="center"/>
        <w:rPr>
          <w:rFonts w:ascii="宋体" w:hAnsi="宋体"/>
          <w:szCs w:val="21"/>
          <w:u w:val="single"/>
        </w:rPr>
      </w:pPr>
    </w:p>
    <w:p w14:paraId="2E2CC3B0">
      <w:pPr>
        <w:tabs>
          <w:tab w:val="left" w:pos="1120"/>
        </w:tabs>
        <w:jc w:val="center"/>
        <w:rPr>
          <w:rFonts w:ascii="宋体" w:hAnsi="宋体"/>
          <w:szCs w:val="21"/>
          <w:u w:val="single"/>
        </w:rPr>
      </w:pPr>
    </w:p>
    <w:p w14:paraId="34F1C3CF">
      <w:pPr>
        <w:tabs>
          <w:tab w:val="left" w:pos="1120"/>
        </w:tabs>
        <w:jc w:val="center"/>
        <w:rPr>
          <w:rFonts w:ascii="宋体" w:hAnsi="宋体"/>
          <w:szCs w:val="21"/>
          <w:u w:val="single"/>
        </w:rPr>
      </w:pPr>
    </w:p>
    <w:p w14:paraId="6890A610">
      <w:pPr>
        <w:tabs>
          <w:tab w:val="left" w:pos="1120"/>
        </w:tabs>
        <w:jc w:val="center"/>
        <w:rPr>
          <w:rFonts w:ascii="宋体" w:hAnsi="宋体"/>
          <w:szCs w:val="21"/>
          <w:u w:val="single"/>
        </w:rPr>
      </w:pPr>
    </w:p>
    <w:p w14:paraId="12676072">
      <w:pPr>
        <w:tabs>
          <w:tab w:val="left" w:pos="1120"/>
        </w:tabs>
        <w:jc w:val="center"/>
        <w:rPr>
          <w:rFonts w:ascii="宋体" w:hAnsi="宋体"/>
          <w:szCs w:val="21"/>
          <w:u w:val="single"/>
        </w:rPr>
      </w:pPr>
    </w:p>
    <w:p w14:paraId="14A6E11F">
      <w:pPr>
        <w:tabs>
          <w:tab w:val="left" w:pos="1120"/>
        </w:tabs>
        <w:jc w:val="center"/>
        <w:rPr>
          <w:rFonts w:ascii="宋体" w:hAnsi="宋体"/>
          <w:szCs w:val="21"/>
          <w:u w:val="single"/>
        </w:rPr>
      </w:pPr>
    </w:p>
    <w:p w14:paraId="67009280">
      <w:pPr>
        <w:tabs>
          <w:tab w:val="left" w:pos="1120"/>
        </w:tabs>
        <w:jc w:val="center"/>
        <w:rPr>
          <w:rFonts w:ascii="宋体" w:hAnsi="宋体"/>
          <w:szCs w:val="21"/>
          <w:u w:val="single"/>
        </w:rPr>
      </w:pPr>
    </w:p>
    <w:p w14:paraId="3E070A1F">
      <w:pPr>
        <w:tabs>
          <w:tab w:val="left" w:pos="1120"/>
        </w:tabs>
        <w:jc w:val="center"/>
        <w:rPr>
          <w:rFonts w:ascii="宋体" w:hAnsi="宋体"/>
          <w:szCs w:val="21"/>
          <w:u w:val="single"/>
        </w:rPr>
      </w:pPr>
    </w:p>
    <w:p w14:paraId="12021EDD">
      <w:pPr>
        <w:tabs>
          <w:tab w:val="left" w:pos="1120"/>
        </w:tabs>
        <w:jc w:val="center"/>
        <w:rPr>
          <w:rFonts w:ascii="宋体" w:hAnsi="宋体"/>
          <w:szCs w:val="21"/>
          <w:u w:val="single"/>
        </w:rPr>
      </w:pPr>
    </w:p>
    <w:p w14:paraId="7EE3C8B1">
      <w:pPr>
        <w:tabs>
          <w:tab w:val="left" w:pos="1120"/>
        </w:tabs>
        <w:jc w:val="center"/>
        <w:rPr>
          <w:rFonts w:ascii="宋体" w:hAnsi="宋体"/>
          <w:szCs w:val="21"/>
          <w:u w:val="single"/>
        </w:rPr>
      </w:pPr>
    </w:p>
    <w:p w14:paraId="6C9AB8A3">
      <w:pPr>
        <w:tabs>
          <w:tab w:val="left" w:pos="1120"/>
        </w:tabs>
        <w:jc w:val="center"/>
        <w:rPr>
          <w:rFonts w:ascii="宋体" w:hAnsi="宋体"/>
          <w:szCs w:val="21"/>
          <w:u w:val="single"/>
        </w:rPr>
      </w:pPr>
    </w:p>
    <w:p w14:paraId="10290599">
      <w:pPr>
        <w:tabs>
          <w:tab w:val="left" w:pos="1120"/>
        </w:tabs>
        <w:jc w:val="center"/>
        <w:rPr>
          <w:rFonts w:ascii="宋体" w:hAnsi="宋体"/>
          <w:szCs w:val="21"/>
          <w:u w:val="single"/>
        </w:rPr>
      </w:pPr>
    </w:p>
    <w:p w14:paraId="0B53DD1B">
      <w:pPr>
        <w:tabs>
          <w:tab w:val="left" w:pos="1120"/>
        </w:tabs>
        <w:jc w:val="center"/>
        <w:rPr>
          <w:rFonts w:ascii="宋体" w:hAnsi="宋体"/>
          <w:szCs w:val="21"/>
          <w:u w:val="single"/>
        </w:rPr>
      </w:pPr>
    </w:p>
    <w:p w14:paraId="577EDE27">
      <w:pPr>
        <w:tabs>
          <w:tab w:val="left" w:pos="1120"/>
        </w:tabs>
        <w:jc w:val="center"/>
        <w:rPr>
          <w:rFonts w:ascii="宋体" w:hAnsi="宋体"/>
          <w:szCs w:val="21"/>
          <w:u w:val="single"/>
        </w:rPr>
      </w:pPr>
    </w:p>
    <w:p w14:paraId="4E1FE551">
      <w:pPr>
        <w:tabs>
          <w:tab w:val="left" w:pos="1120"/>
        </w:tabs>
        <w:jc w:val="center"/>
        <w:rPr>
          <w:rFonts w:ascii="宋体" w:hAnsi="宋体"/>
          <w:szCs w:val="21"/>
          <w:u w:val="single"/>
        </w:rPr>
      </w:pPr>
    </w:p>
    <w:p w14:paraId="3EE9BB7F">
      <w:pPr>
        <w:tabs>
          <w:tab w:val="left" w:pos="1120"/>
        </w:tabs>
        <w:jc w:val="center"/>
        <w:rPr>
          <w:rFonts w:ascii="宋体" w:hAnsi="宋体"/>
          <w:szCs w:val="21"/>
          <w:u w:val="single"/>
        </w:rPr>
      </w:pPr>
    </w:p>
    <w:p w14:paraId="44777918">
      <w:pPr>
        <w:tabs>
          <w:tab w:val="left" w:pos="1120"/>
        </w:tabs>
        <w:jc w:val="center"/>
        <w:rPr>
          <w:rFonts w:ascii="宋体" w:hAnsi="宋体"/>
          <w:szCs w:val="21"/>
          <w:u w:val="single"/>
        </w:rPr>
      </w:pPr>
    </w:p>
    <w:p w14:paraId="2E33418F">
      <w:pPr>
        <w:tabs>
          <w:tab w:val="left" w:pos="1120"/>
        </w:tabs>
        <w:jc w:val="center"/>
        <w:rPr>
          <w:rFonts w:ascii="宋体" w:hAnsi="宋体"/>
          <w:szCs w:val="21"/>
          <w:u w:val="single"/>
        </w:rPr>
      </w:pPr>
    </w:p>
    <w:p w14:paraId="14DB47FC">
      <w:pPr>
        <w:tabs>
          <w:tab w:val="left" w:pos="1120"/>
        </w:tabs>
        <w:jc w:val="center"/>
        <w:rPr>
          <w:rFonts w:ascii="宋体" w:hAnsi="宋体"/>
          <w:szCs w:val="21"/>
          <w:u w:val="single"/>
        </w:rPr>
      </w:pPr>
    </w:p>
    <w:p w14:paraId="5AF17241">
      <w:pPr>
        <w:tabs>
          <w:tab w:val="left" w:pos="1120"/>
        </w:tabs>
        <w:jc w:val="center"/>
        <w:rPr>
          <w:rFonts w:ascii="宋体" w:hAnsi="宋体"/>
          <w:szCs w:val="21"/>
          <w:u w:val="single"/>
        </w:rPr>
      </w:pPr>
    </w:p>
    <w:p w14:paraId="58415AC1">
      <w:pPr>
        <w:tabs>
          <w:tab w:val="left" w:pos="1120"/>
        </w:tabs>
        <w:jc w:val="center"/>
        <w:rPr>
          <w:rFonts w:ascii="宋体" w:hAnsi="宋体"/>
          <w:szCs w:val="21"/>
          <w:u w:val="single"/>
        </w:rPr>
      </w:pPr>
    </w:p>
    <w:p w14:paraId="389ED551">
      <w:pPr>
        <w:tabs>
          <w:tab w:val="left" w:pos="1120"/>
        </w:tabs>
        <w:jc w:val="center"/>
        <w:rPr>
          <w:rFonts w:ascii="宋体" w:hAnsi="宋体"/>
          <w:szCs w:val="21"/>
          <w:u w:val="single"/>
        </w:rPr>
      </w:pPr>
    </w:p>
    <w:p w14:paraId="1CD2C1D5">
      <w:pPr>
        <w:widowControl/>
        <w:jc w:val="center"/>
        <w:rPr>
          <w:rFonts w:ascii="宋体" w:hAnsi="宋体" w:cs="宋体"/>
          <w:color w:val="333333"/>
          <w:kern w:val="0"/>
          <w:sz w:val="24"/>
        </w:rPr>
      </w:pPr>
      <w:r>
        <w:rPr>
          <w:rFonts w:hint="eastAsia" w:ascii="宋体" w:hAnsi="宋体" w:cs="宋体"/>
          <w:b/>
          <w:bCs/>
          <w:color w:val="333333"/>
          <w:kern w:val="0"/>
          <w:sz w:val="36"/>
          <w:szCs w:val="36"/>
        </w:rPr>
        <w:t>国务院办公厅关于印发开展基层政务公开</w:t>
      </w:r>
    </w:p>
    <w:p w14:paraId="05425E55">
      <w:pPr>
        <w:widowControl/>
        <w:jc w:val="center"/>
        <w:rPr>
          <w:rFonts w:ascii="宋体" w:hAnsi="宋体" w:cs="宋体"/>
          <w:color w:val="333333"/>
          <w:kern w:val="0"/>
          <w:sz w:val="24"/>
        </w:rPr>
      </w:pPr>
      <w:r>
        <w:rPr>
          <w:rFonts w:hint="eastAsia" w:ascii="宋体" w:hAnsi="宋体" w:cs="宋体"/>
          <w:b/>
          <w:bCs/>
          <w:color w:val="333333"/>
          <w:kern w:val="0"/>
          <w:sz w:val="36"/>
          <w:szCs w:val="36"/>
        </w:rPr>
        <w:t>标准化规范化试点工作方案的通知</w:t>
      </w:r>
    </w:p>
    <w:p w14:paraId="769F593B">
      <w:pPr>
        <w:widowControl/>
        <w:rPr>
          <w:rFonts w:ascii="宋体" w:hAnsi="宋体" w:cs="宋体"/>
          <w:color w:val="333333"/>
          <w:kern w:val="0"/>
          <w:sz w:val="24"/>
        </w:rPr>
      </w:pPr>
      <w:r>
        <w:rPr>
          <w:rFonts w:hint="eastAsia" w:ascii="宋体" w:hAnsi="宋体" w:cs="宋体"/>
          <w:color w:val="333333"/>
          <w:kern w:val="0"/>
          <w:sz w:val="24"/>
        </w:rPr>
        <w:t>各省、自治区、直辖市人民政府，国务院各部委、各直属机构：</w:t>
      </w:r>
    </w:p>
    <w:p w14:paraId="56CECB21">
      <w:pPr>
        <w:widowControl/>
        <w:ind w:firstLine="480"/>
        <w:rPr>
          <w:rFonts w:ascii="宋体" w:hAnsi="宋体" w:cs="宋体"/>
          <w:color w:val="333333"/>
          <w:kern w:val="0"/>
          <w:sz w:val="24"/>
        </w:rPr>
      </w:pPr>
      <w:r>
        <w:rPr>
          <w:rFonts w:hint="eastAsia" w:ascii="宋体" w:hAnsi="宋体" w:cs="宋体"/>
          <w:color w:val="333333"/>
          <w:kern w:val="0"/>
          <w:sz w:val="24"/>
        </w:rPr>
        <w:t>《开展基层政务公开标准化规范化试点工作方案》已经国务院同意，现印发给你们，请认真贯彻落实。</w:t>
      </w:r>
    </w:p>
    <w:p w14:paraId="790EBC4B">
      <w:pPr>
        <w:widowControl/>
        <w:rPr>
          <w:rFonts w:ascii="宋体" w:hAnsi="宋体" w:cs="宋体"/>
          <w:color w:val="333333"/>
          <w:kern w:val="0"/>
          <w:sz w:val="24"/>
        </w:rPr>
      </w:pPr>
      <w:r>
        <w:rPr>
          <w:rFonts w:hint="eastAsia" w:ascii="宋体" w:hAnsi="宋体" w:cs="宋体"/>
          <w:color w:val="333333"/>
          <w:kern w:val="0"/>
          <w:sz w:val="24"/>
        </w:rPr>
        <w:t>　　　　　　　　　　　　　　　　　　　　国务院办公厅</w:t>
      </w:r>
    </w:p>
    <w:p w14:paraId="00BBE965">
      <w:pPr>
        <w:widowControl/>
        <w:rPr>
          <w:rFonts w:ascii="宋体" w:hAnsi="宋体" w:cs="宋体"/>
          <w:color w:val="333333"/>
          <w:kern w:val="0"/>
          <w:sz w:val="24"/>
        </w:rPr>
      </w:pPr>
      <w:r>
        <w:rPr>
          <w:rFonts w:hint="eastAsia" w:ascii="宋体" w:hAnsi="宋体" w:cs="宋体"/>
          <w:color w:val="333333"/>
          <w:kern w:val="0"/>
          <w:sz w:val="24"/>
        </w:rPr>
        <w:t>　　　　　　　　　　　　　　　　　　　</w:t>
      </w:r>
      <w:r>
        <w:rPr>
          <w:rFonts w:hint="eastAsia" w:ascii="宋体" w:hAnsi="宋体" w:cs="宋体"/>
          <w:color w:val="000000"/>
          <w:kern w:val="0"/>
          <w:sz w:val="24"/>
          <w:shd w:val="clear" w:color="auto" w:fill="FFFFFF"/>
        </w:rPr>
        <w:t>2017年5月9日</w:t>
      </w:r>
    </w:p>
    <w:p w14:paraId="5E829E76">
      <w:pPr>
        <w:widowControl/>
        <w:spacing w:line="432" w:lineRule="auto"/>
        <w:ind w:firstLine="480"/>
        <w:rPr>
          <w:rFonts w:ascii="宋体" w:hAnsi="宋体" w:cs="宋体"/>
          <w:color w:val="333333"/>
          <w:kern w:val="0"/>
          <w:sz w:val="24"/>
        </w:rPr>
      </w:pPr>
      <w:r>
        <w:rPr>
          <w:rFonts w:hint="eastAsia" w:ascii="宋体" w:hAnsi="宋体" w:cs="宋体"/>
          <w:color w:val="333333"/>
          <w:kern w:val="0"/>
          <w:sz w:val="24"/>
        </w:rPr>
        <w:t>（此件公开发布）</w:t>
      </w:r>
    </w:p>
    <w:p w14:paraId="28EEE792">
      <w:pPr>
        <w:widowControl/>
        <w:jc w:val="center"/>
        <w:rPr>
          <w:rFonts w:ascii="宋体" w:hAnsi="宋体" w:cs="宋体"/>
          <w:color w:val="333333"/>
          <w:kern w:val="0"/>
          <w:sz w:val="24"/>
        </w:rPr>
      </w:pPr>
    </w:p>
    <w:p w14:paraId="0DD34C48">
      <w:pPr>
        <w:widowControl/>
        <w:jc w:val="center"/>
        <w:rPr>
          <w:rFonts w:ascii="宋体" w:hAnsi="宋体" w:cs="宋体"/>
          <w:color w:val="333333"/>
          <w:kern w:val="0"/>
          <w:sz w:val="24"/>
        </w:rPr>
      </w:pPr>
      <w:r>
        <w:rPr>
          <w:rFonts w:hint="eastAsia" w:ascii="宋体" w:hAnsi="宋体" w:cs="宋体"/>
          <w:b/>
          <w:bCs/>
          <w:color w:val="333333"/>
          <w:kern w:val="0"/>
          <w:sz w:val="36"/>
          <w:szCs w:val="36"/>
        </w:rPr>
        <w:t>开展基层政务公开标准化规范化</w:t>
      </w:r>
    </w:p>
    <w:p w14:paraId="2CEF0E46">
      <w:pPr>
        <w:widowControl/>
        <w:jc w:val="center"/>
        <w:rPr>
          <w:rFonts w:ascii="宋体" w:hAnsi="宋体" w:cs="宋体"/>
          <w:color w:val="333333"/>
          <w:kern w:val="0"/>
          <w:sz w:val="24"/>
        </w:rPr>
      </w:pPr>
      <w:r>
        <w:rPr>
          <w:rFonts w:hint="eastAsia" w:ascii="宋体" w:hAnsi="宋体" w:cs="宋体"/>
          <w:b/>
          <w:bCs/>
          <w:color w:val="333333"/>
          <w:kern w:val="0"/>
          <w:sz w:val="36"/>
          <w:szCs w:val="36"/>
        </w:rPr>
        <w:t>试点工作方案</w:t>
      </w:r>
    </w:p>
    <w:p w14:paraId="310E5F43">
      <w:pPr>
        <w:widowControl/>
        <w:spacing w:line="432" w:lineRule="auto"/>
        <w:ind w:firstLine="480"/>
        <w:rPr>
          <w:rFonts w:ascii="宋体" w:hAnsi="宋体" w:cs="宋体"/>
          <w:color w:val="333333"/>
          <w:kern w:val="0"/>
          <w:szCs w:val="21"/>
        </w:rPr>
      </w:pPr>
      <w:r>
        <w:rPr>
          <w:rFonts w:hint="eastAsia" w:ascii="宋体" w:hAnsi="宋体" w:cs="宋体"/>
          <w:color w:val="333333"/>
          <w:kern w:val="0"/>
          <w:szCs w:val="21"/>
        </w:rPr>
        <w:t>推进决策、执行、管理、服务、结果公开（以下统称“五公开”）是党的十八届四中全会部署的重要改革任务。开展基层政务公开标准化规范化试点，是推进“五公开”工作的具体举措，对于深化基层政务公开，提高行政效能，加快建设法治政府、服务型政府，具有重要意义。根据党中央、国务院的部署和要求，现就开展基层政务公开标准化规范化试点工作，制定以下方案。</w:t>
      </w:r>
    </w:p>
    <w:p w14:paraId="5EE744AD">
      <w:pPr>
        <w:widowControl/>
        <w:spacing w:line="432" w:lineRule="auto"/>
        <w:ind w:firstLine="480"/>
        <w:rPr>
          <w:rFonts w:ascii="宋体" w:hAnsi="宋体" w:cs="宋体"/>
          <w:color w:val="333333"/>
          <w:kern w:val="0"/>
          <w:szCs w:val="21"/>
        </w:rPr>
      </w:pPr>
      <w:r>
        <w:rPr>
          <w:rFonts w:hint="eastAsia" w:ascii="宋体" w:hAnsi="宋体" w:cs="宋体"/>
          <w:b/>
          <w:bCs/>
          <w:color w:val="333333"/>
          <w:kern w:val="0"/>
          <w:szCs w:val="21"/>
        </w:rPr>
        <w:t>一、总体要求</w:t>
      </w:r>
    </w:p>
    <w:p w14:paraId="5E33589F">
      <w:pPr>
        <w:widowControl/>
        <w:spacing w:line="432" w:lineRule="auto"/>
        <w:ind w:firstLine="480"/>
        <w:rPr>
          <w:rFonts w:ascii="宋体" w:hAnsi="宋体" w:cs="宋体"/>
          <w:color w:val="333333"/>
          <w:kern w:val="0"/>
          <w:szCs w:val="21"/>
        </w:rPr>
      </w:pPr>
      <w:r>
        <w:rPr>
          <w:rFonts w:hint="eastAsia" w:ascii="楷体" w:hAnsi="楷体" w:eastAsia="楷体" w:cs="宋体"/>
          <w:color w:val="333333"/>
          <w:kern w:val="0"/>
          <w:szCs w:val="21"/>
        </w:rPr>
        <w:t>（一）指导思想。</w:t>
      </w:r>
      <w:r>
        <w:rPr>
          <w:rFonts w:hint="eastAsia" w:ascii="宋体" w:hAnsi="宋体" w:cs="宋体"/>
          <w:color w:val="333333"/>
          <w:kern w:val="0"/>
          <w:szCs w:val="21"/>
        </w:rPr>
        <w:t>全面贯彻党的十八大和十八届三中、四中、五中、六中全会精神，深入贯彻习近平总书记系列重要讲话精神和治国理政新理念新思想新战略，坚持以人民为中心的发展思想，认真落实党中央、国务院关于全面推进政务公开的决策部署，围绕权力运行全流程、政务服务全过程，立足试点探索，紧密联系实际，积极推进基层政务公开标准化规范化，全面提升基层政务公开和政务服务水平。</w:t>
      </w:r>
    </w:p>
    <w:p w14:paraId="041BFB74">
      <w:pPr>
        <w:widowControl/>
        <w:spacing w:line="432" w:lineRule="auto"/>
        <w:ind w:firstLine="480"/>
        <w:rPr>
          <w:rFonts w:ascii="宋体" w:hAnsi="宋体" w:cs="宋体"/>
          <w:color w:val="333333"/>
          <w:kern w:val="0"/>
          <w:szCs w:val="21"/>
        </w:rPr>
      </w:pPr>
      <w:r>
        <w:rPr>
          <w:rFonts w:hint="eastAsia" w:ascii="楷体" w:hAnsi="楷体" w:eastAsia="楷体" w:cs="宋体"/>
          <w:color w:val="333333"/>
          <w:kern w:val="0"/>
          <w:szCs w:val="21"/>
        </w:rPr>
        <w:t>（二）基本原则。</w:t>
      </w:r>
    </w:p>
    <w:p w14:paraId="465961BA">
      <w:pPr>
        <w:widowControl/>
        <w:spacing w:line="432" w:lineRule="auto"/>
        <w:ind w:firstLine="480"/>
        <w:rPr>
          <w:rFonts w:ascii="宋体" w:hAnsi="宋体" w:cs="宋体"/>
          <w:color w:val="333333"/>
          <w:kern w:val="0"/>
          <w:szCs w:val="21"/>
        </w:rPr>
      </w:pPr>
      <w:r>
        <w:rPr>
          <w:rFonts w:hint="eastAsia" w:ascii="宋体" w:hAnsi="宋体" w:cs="宋体"/>
          <w:color w:val="333333"/>
          <w:kern w:val="0"/>
          <w:szCs w:val="21"/>
        </w:rPr>
        <w:t>坚持需求导向。围绕与群众关系密切的行政行为和服务事项，充分听取群众意见，按照“应公开、尽公开”要求全面梳理公开事项，细化公开内容，进一步提高基层政务公开的针对性、实效性。</w:t>
      </w:r>
    </w:p>
    <w:p w14:paraId="35EBC457">
      <w:pPr>
        <w:widowControl/>
        <w:spacing w:line="432" w:lineRule="auto"/>
        <w:ind w:firstLine="480"/>
        <w:rPr>
          <w:rFonts w:ascii="宋体" w:hAnsi="宋体" w:cs="宋体"/>
          <w:color w:val="333333"/>
          <w:kern w:val="0"/>
          <w:szCs w:val="21"/>
        </w:rPr>
      </w:pPr>
      <w:r>
        <w:rPr>
          <w:rFonts w:hint="eastAsia" w:ascii="宋体" w:hAnsi="宋体" w:cs="宋体"/>
          <w:color w:val="333333"/>
          <w:kern w:val="0"/>
          <w:szCs w:val="21"/>
        </w:rPr>
        <w:t>注重重点突破。按照“先试点、后推开”的工作思路，以涉及群众利益、社会普遍关注的领域和服务事项为重点，选取部分县（市、区）先行试点、总结经验，以点带面，逐步扩大到基层政府的所有政务领域和服务事项。</w:t>
      </w:r>
    </w:p>
    <w:p w14:paraId="3065D618">
      <w:pPr>
        <w:widowControl/>
        <w:spacing w:line="432" w:lineRule="auto"/>
        <w:ind w:firstLine="480"/>
        <w:rPr>
          <w:rFonts w:ascii="宋体" w:hAnsi="宋体" w:cs="宋体"/>
          <w:color w:val="333333"/>
          <w:kern w:val="0"/>
          <w:szCs w:val="21"/>
        </w:rPr>
      </w:pPr>
      <w:r>
        <w:rPr>
          <w:rFonts w:hint="eastAsia" w:ascii="宋体" w:hAnsi="宋体" w:cs="宋体"/>
          <w:color w:val="333333"/>
          <w:kern w:val="0"/>
          <w:szCs w:val="21"/>
        </w:rPr>
        <w:t>强化标准引领。基于政务公开的基本要求，探索建立全国统一的政务公开标准体系，并根据实际情况定期调整和更新，推进政务公开与政务服务标准化有机融合。</w:t>
      </w:r>
    </w:p>
    <w:p w14:paraId="1BF93097">
      <w:pPr>
        <w:widowControl/>
        <w:spacing w:line="432" w:lineRule="auto"/>
        <w:ind w:firstLine="480"/>
        <w:rPr>
          <w:rFonts w:ascii="宋体" w:hAnsi="宋体" w:cs="宋体"/>
          <w:color w:val="333333"/>
          <w:kern w:val="0"/>
          <w:szCs w:val="21"/>
        </w:rPr>
      </w:pPr>
      <w:r>
        <w:rPr>
          <w:rFonts w:hint="eastAsia" w:ascii="宋体" w:hAnsi="宋体" w:cs="宋体"/>
          <w:color w:val="333333"/>
          <w:kern w:val="0"/>
          <w:szCs w:val="21"/>
        </w:rPr>
        <w:t>适应基层特点。立足基层政府直接联系服务群众的实际，结合各部门各行业特点，积极探索高效、便捷的公开方式，及时、准确公开影响群众权利义务的行政行为和服务事项，让群众看得到、听得懂、易获取、能监督、好参与。</w:t>
      </w:r>
    </w:p>
    <w:p w14:paraId="1E78AB2E">
      <w:pPr>
        <w:widowControl/>
        <w:spacing w:line="432" w:lineRule="auto"/>
        <w:ind w:firstLine="480"/>
        <w:rPr>
          <w:rFonts w:ascii="宋体" w:hAnsi="宋体" w:cs="宋体"/>
          <w:color w:val="333333"/>
          <w:kern w:val="0"/>
          <w:szCs w:val="21"/>
        </w:rPr>
      </w:pPr>
      <w:r>
        <w:rPr>
          <w:rFonts w:hint="eastAsia" w:ascii="楷体" w:hAnsi="楷体" w:eastAsia="楷体" w:cs="宋体"/>
          <w:color w:val="333333"/>
          <w:kern w:val="0"/>
          <w:szCs w:val="21"/>
        </w:rPr>
        <w:t>（三）工作目标。</w:t>
      </w:r>
      <w:r>
        <w:rPr>
          <w:rFonts w:hint="eastAsia" w:ascii="宋体" w:hAnsi="宋体" w:cs="宋体"/>
          <w:color w:val="333333"/>
          <w:kern w:val="0"/>
          <w:szCs w:val="21"/>
        </w:rPr>
        <w:t>2018年底前，总结试点经验做法，形成可复制、可推广、可考核的基层政务公开标准和规范，为在全国全面推行奠定基础。</w:t>
      </w:r>
    </w:p>
    <w:p w14:paraId="0C004D7C">
      <w:pPr>
        <w:widowControl/>
        <w:spacing w:line="432" w:lineRule="auto"/>
        <w:ind w:firstLine="480"/>
        <w:rPr>
          <w:rFonts w:ascii="宋体" w:hAnsi="宋体" w:cs="宋体"/>
          <w:color w:val="333333"/>
          <w:kern w:val="0"/>
          <w:szCs w:val="21"/>
        </w:rPr>
      </w:pPr>
      <w:r>
        <w:rPr>
          <w:rFonts w:hint="eastAsia" w:ascii="宋体" w:hAnsi="宋体" w:cs="宋体"/>
          <w:b/>
          <w:bCs/>
          <w:color w:val="333333"/>
          <w:kern w:val="0"/>
          <w:szCs w:val="21"/>
        </w:rPr>
        <w:t>二、试点范围</w:t>
      </w:r>
    </w:p>
    <w:p w14:paraId="7E1FDCC1">
      <w:pPr>
        <w:widowControl/>
        <w:spacing w:line="432" w:lineRule="auto"/>
        <w:ind w:firstLine="480"/>
        <w:rPr>
          <w:rFonts w:ascii="宋体" w:hAnsi="宋体" w:cs="宋体"/>
          <w:color w:val="333333"/>
          <w:kern w:val="0"/>
          <w:szCs w:val="21"/>
        </w:rPr>
      </w:pPr>
      <w:r>
        <w:rPr>
          <w:rFonts w:hint="eastAsia" w:ascii="宋体" w:hAnsi="宋体" w:cs="宋体"/>
          <w:color w:val="333333"/>
          <w:kern w:val="0"/>
          <w:szCs w:val="21"/>
        </w:rPr>
        <w:t>根据各地区实际情况和政务公开工作基础，确定在北京市、安徽省、陕西省等15个省（区、市）的100个县（市、区）（以下称试点单位），重点围绕城乡规划、重大建设项目、公共资源交易、财政预决算、安全生产、税收管理、征地补偿、拆迁安置、保障性住房、农村危房改造、环境保护、公共文化服务、公共法律服务、扶贫救灾、食品药品监管、城市综合执法、就业创业、社会保险、社会救助、养老服务、户籍管理、涉农补贴、义务教育、医疗卫生、市政服务等方面开展试点工作（《试点单位及试点内容表》附后）。承担试点任务的省（区、市）在做好试点工作的同时，可以结合实际适当增加试点内容。</w:t>
      </w:r>
    </w:p>
    <w:p w14:paraId="6DEC8625">
      <w:pPr>
        <w:widowControl/>
        <w:spacing w:line="432" w:lineRule="auto"/>
        <w:ind w:firstLine="480"/>
        <w:rPr>
          <w:rFonts w:ascii="宋体" w:hAnsi="宋体" w:cs="宋体"/>
          <w:color w:val="333333"/>
          <w:kern w:val="0"/>
          <w:szCs w:val="21"/>
        </w:rPr>
      </w:pPr>
      <w:r>
        <w:rPr>
          <w:rFonts w:hint="eastAsia" w:ascii="宋体" w:hAnsi="宋体" w:cs="宋体"/>
          <w:color w:val="333333"/>
          <w:kern w:val="0"/>
          <w:szCs w:val="21"/>
        </w:rPr>
        <w:t>未纳入试点的其他省（区、市），可参照本方案自行组织开展试点工作。</w:t>
      </w:r>
    </w:p>
    <w:p w14:paraId="77CB7B98">
      <w:pPr>
        <w:widowControl/>
        <w:spacing w:line="432" w:lineRule="auto"/>
        <w:ind w:firstLine="480"/>
        <w:rPr>
          <w:rFonts w:ascii="宋体" w:hAnsi="宋体" w:cs="宋体"/>
          <w:color w:val="333333"/>
          <w:kern w:val="0"/>
          <w:szCs w:val="21"/>
        </w:rPr>
      </w:pPr>
      <w:r>
        <w:rPr>
          <w:rFonts w:hint="eastAsia" w:ascii="宋体" w:hAnsi="宋体" w:cs="宋体"/>
          <w:b/>
          <w:bCs/>
          <w:color w:val="333333"/>
          <w:kern w:val="0"/>
          <w:szCs w:val="21"/>
        </w:rPr>
        <w:t>三、重点任务</w:t>
      </w:r>
    </w:p>
    <w:p w14:paraId="2362622F">
      <w:pPr>
        <w:widowControl/>
        <w:spacing w:line="432" w:lineRule="auto"/>
        <w:ind w:firstLine="480"/>
        <w:rPr>
          <w:rFonts w:ascii="宋体" w:hAnsi="宋体" w:cs="宋体"/>
          <w:color w:val="333333"/>
          <w:kern w:val="0"/>
          <w:szCs w:val="21"/>
        </w:rPr>
      </w:pPr>
      <w:r>
        <w:rPr>
          <w:rFonts w:hint="eastAsia" w:ascii="宋体" w:hAnsi="宋体" w:cs="宋体"/>
          <w:color w:val="333333"/>
          <w:kern w:val="0"/>
          <w:szCs w:val="21"/>
        </w:rPr>
        <w:t>承担试点任务的省（区、市）人民政府要按本方案确定的试点范围认真组织实施，重点做好以下工作：</w:t>
      </w:r>
    </w:p>
    <w:p w14:paraId="3B875E84">
      <w:pPr>
        <w:widowControl/>
        <w:spacing w:line="432" w:lineRule="auto"/>
        <w:ind w:firstLine="480"/>
        <w:rPr>
          <w:rFonts w:ascii="宋体" w:hAnsi="宋体" w:cs="宋体"/>
          <w:color w:val="333333"/>
          <w:kern w:val="0"/>
          <w:szCs w:val="21"/>
        </w:rPr>
      </w:pPr>
      <w:r>
        <w:rPr>
          <w:rFonts w:hint="eastAsia" w:ascii="楷体" w:hAnsi="楷体" w:eastAsia="楷体" w:cs="宋体"/>
          <w:color w:val="333333"/>
          <w:kern w:val="0"/>
          <w:szCs w:val="21"/>
        </w:rPr>
        <w:t>（一）梳理政务公开事项。</w:t>
      </w:r>
      <w:r>
        <w:rPr>
          <w:rFonts w:hint="eastAsia" w:ascii="宋体" w:hAnsi="宋体" w:cs="宋体"/>
          <w:color w:val="333333"/>
          <w:kern w:val="0"/>
          <w:szCs w:val="21"/>
        </w:rPr>
        <w:t>要组织试点单位对试点范围涉及的公开事项，依据权责清单和公共服务事项进行全面梳理，并按条目方式逐项细化分类，确保公开事项分类科学、名称规范、指向明确。</w:t>
      </w:r>
    </w:p>
    <w:p w14:paraId="74A10176">
      <w:pPr>
        <w:widowControl/>
        <w:spacing w:line="432" w:lineRule="auto"/>
        <w:ind w:firstLine="480"/>
        <w:rPr>
          <w:rFonts w:ascii="宋体" w:hAnsi="宋体" w:cs="宋体"/>
          <w:color w:val="333333"/>
          <w:kern w:val="0"/>
          <w:szCs w:val="21"/>
        </w:rPr>
      </w:pPr>
      <w:r>
        <w:rPr>
          <w:rFonts w:hint="eastAsia" w:ascii="楷体" w:hAnsi="楷体" w:eastAsia="楷体" w:cs="宋体"/>
          <w:color w:val="333333"/>
          <w:kern w:val="0"/>
          <w:szCs w:val="21"/>
        </w:rPr>
        <w:t>（二）编制政务公开事项标准。</w:t>
      </w:r>
      <w:r>
        <w:rPr>
          <w:rFonts w:hint="eastAsia" w:ascii="宋体" w:hAnsi="宋体" w:cs="宋体"/>
          <w:color w:val="333333"/>
          <w:kern w:val="0"/>
          <w:szCs w:val="21"/>
        </w:rPr>
        <w:t>在全面梳理细化基础上，逐项确定每个具体事项的公开标准，至少应包括公开事项的名称、依据以及应公开的内容、主体、时限、方式等要素，汇总编制政务公开事项标准目录，并实行动态调整。</w:t>
      </w:r>
    </w:p>
    <w:p w14:paraId="61F6BAB1">
      <w:pPr>
        <w:widowControl/>
        <w:spacing w:line="432" w:lineRule="auto"/>
        <w:ind w:firstLine="480"/>
        <w:rPr>
          <w:rFonts w:ascii="宋体" w:hAnsi="宋体" w:cs="宋体"/>
          <w:color w:val="333333"/>
          <w:kern w:val="0"/>
          <w:szCs w:val="21"/>
        </w:rPr>
      </w:pPr>
      <w:r>
        <w:rPr>
          <w:rFonts w:hint="eastAsia" w:ascii="楷体" w:hAnsi="楷体" w:eastAsia="楷体" w:cs="宋体"/>
          <w:color w:val="333333"/>
          <w:kern w:val="0"/>
          <w:szCs w:val="21"/>
        </w:rPr>
        <w:t>（三）规范政务公开工作流程。</w:t>
      </w:r>
      <w:r>
        <w:rPr>
          <w:rFonts w:hint="eastAsia" w:ascii="宋体" w:hAnsi="宋体" w:cs="宋体"/>
          <w:color w:val="333333"/>
          <w:kern w:val="0"/>
          <w:szCs w:val="21"/>
        </w:rPr>
        <w:t>在编制政务公开事项标准的同时，按照转变政府职能和推进“五公开”的要求，全面梳理和优化政务公开工作流程，健全工作机制，推动发布、解读、回应有序衔接，实现决策、执行、管理、服务、结果全过程公开。</w:t>
      </w:r>
    </w:p>
    <w:p w14:paraId="592724E0">
      <w:pPr>
        <w:widowControl/>
        <w:spacing w:line="432" w:lineRule="auto"/>
        <w:ind w:firstLine="480"/>
        <w:rPr>
          <w:rFonts w:ascii="宋体" w:hAnsi="宋体" w:cs="宋体"/>
          <w:color w:val="333333"/>
          <w:kern w:val="0"/>
          <w:szCs w:val="21"/>
        </w:rPr>
      </w:pPr>
      <w:r>
        <w:rPr>
          <w:rFonts w:hint="eastAsia" w:ascii="楷体" w:hAnsi="楷体" w:eastAsia="楷体" w:cs="宋体"/>
          <w:color w:val="333333"/>
          <w:kern w:val="0"/>
          <w:szCs w:val="21"/>
        </w:rPr>
        <w:t>（四）完善政务公开方式。</w:t>
      </w:r>
      <w:r>
        <w:rPr>
          <w:rFonts w:hint="eastAsia" w:ascii="宋体" w:hAnsi="宋体" w:cs="宋体"/>
          <w:color w:val="333333"/>
          <w:kern w:val="0"/>
          <w:szCs w:val="21"/>
        </w:rPr>
        <w:t>按照政府网站建设管理的有关要求，加快推进政务公开平台标准化规范化，加强政府网站内容建设和管理，发挥政府网站信息公开第一平台作用。根据基层实际情况，综合利用政务新媒体、广播、电视、报纸、公示栏等平台和办事大厅、便民服务窗口等场所，多渠道发布政务信息，方便公众查询或获取。</w:t>
      </w:r>
    </w:p>
    <w:p w14:paraId="164540C3">
      <w:pPr>
        <w:widowControl/>
        <w:spacing w:line="432" w:lineRule="auto"/>
        <w:ind w:firstLine="480"/>
        <w:rPr>
          <w:rFonts w:ascii="宋体" w:hAnsi="宋体" w:cs="宋体"/>
          <w:color w:val="333333"/>
          <w:kern w:val="0"/>
          <w:szCs w:val="21"/>
        </w:rPr>
      </w:pPr>
      <w:r>
        <w:rPr>
          <w:rFonts w:hint="eastAsia" w:ascii="宋体" w:hAnsi="宋体" w:cs="宋体"/>
          <w:b/>
          <w:bCs/>
          <w:color w:val="333333"/>
          <w:kern w:val="0"/>
          <w:szCs w:val="21"/>
        </w:rPr>
        <w:t>四、工作进度</w:t>
      </w:r>
    </w:p>
    <w:p w14:paraId="1596D249">
      <w:pPr>
        <w:widowControl/>
        <w:spacing w:line="432" w:lineRule="auto"/>
        <w:ind w:firstLine="480"/>
        <w:rPr>
          <w:rFonts w:ascii="宋体" w:hAnsi="宋体" w:cs="宋体"/>
          <w:color w:val="333333"/>
          <w:kern w:val="0"/>
          <w:szCs w:val="21"/>
        </w:rPr>
      </w:pPr>
      <w:r>
        <w:rPr>
          <w:rFonts w:hint="eastAsia" w:ascii="楷体" w:hAnsi="楷体" w:eastAsia="楷体" w:cs="宋体"/>
          <w:color w:val="333333"/>
          <w:kern w:val="0"/>
          <w:szCs w:val="21"/>
        </w:rPr>
        <w:t>（一）制定实施方案。</w:t>
      </w:r>
      <w:r>
        <w:rPr>
          <w:rFonts w:hint="eastAsia" w:ascii="宋体" w:hAnsi="宋体" w:cs="宋体"/>
          <w:color w:val="333333"/>
          <w:kern w:val="0"/>
          <w:szCs w:val="21"/>
        </w:rPr>
        <w:t>试点工作启动后，承担试点任务的省（区、市）人民政府要结合实际抓紧制定具体实施方案，细化任务措施，于2017年8月底前报送国务院办公厅备案。</w:t>
      </w:r>
    </w:p>
    <w:p w14:paraId="27E44407">
      <w:pPr>
        <w:widowControl/>
        <w:spacing w:line="432" w:lineRule="auto"/>
        <w:ind w:firstLine="480"/>
        <w:rPr>
          <w:rFonts w:ascii="宋体" w:hAnsi="宋体" w:cs="宋体"/>
          <w:color w:val="333333"/>
          <w:kern w:val="0"/>
          <w:szCs w:val="21"/>
        </w:rPr>
      </w:pPr>
      <w:r>
        <w:rPr>
          <w:rFonts w:hint="eastAsia" w:ascii="楷体" w:hAnsi="楷体" w:eastAsia="楷体" w:cs="宋体"/>
          <w:color w:val="333333"/>
          <w:kern w:val="0"/>
          <w:szCs w:val="21"/>
        </w:rPr>
        <w:t>（二）组织开展试点。</w:t>
      </w:r>
      <w:r>
        <w:rPr>
          <w:rFonts w:hint="eastAsia" w:ascii="宋体" w:hAnsi="宋体" w:cs="宋体"/>
          <w:color w:val="333333"/>
          <w:kern w:val="0"/>
          <w:szCs w:val="21"/>
        </w:rPr>
        <w:t>承担试点任务的省（区、市）人民政府要组织指导试点单位围绕试点范围，有力有序开展试点。试点时间为期一年，2018年8月底前完成试点各项任务。</w:t>
      </w:r>
    </w:p>
    <w:p w14:paraId="5699C7B1">
      <w:pPr>
        <w:widowControl/>
        <w:spacing w:line="432" w:lineRule="auto"/>
        <w:ind w:firstLine="480"/>
        <w:rPr>
          <w:rFonts w:ascii="宋体" w:hAnsi="宋体" w:cs="宋体"/>
          <w:color w:val="333333"/>
          <w:kern w:val="0"/>
          <w:szCs w:val="21"/>
        </w:rPr>
      </w:pPr>
      <w:r>
        <w:rPr>
          <w:rFonts w:hint="eastAsia" w:ascii="楷体" w:hAnsi="楷体" w:eastAsia="楷体" w:cs="宋体"/>
          <w:color w:val="333333"/>
          <w:kern w:val="0"/>
          <w:szCs w:val="21"/>
        </w:rPr>
        <w:t>（三）组织试点验收。</w:t>
      </w:r>
      <w:r>
        <w:rPr>
          <w:rFonts w:hint="eastAsia" w:ascii="宋体" w:hAnsi="宋体" w:cs="宋体"/>
          <w:color w:val="333333"/>
          <w:kern w:val="0"/>
          <w:szCs w:val="21"/>
        </w:rPr>
        <w:t>承担试点任务的省（区、市）人民政府要于2018年9月底前，对本地区试点总体情况、主要做法和成效、存在的问题及建议等进行总结，形成试点工作总体报告，报送国务院办公厅。</w:t>
      </w:r>
    </w:p>
    <w:p w14:paraId="1D17DCBB">
      <w:pPr>
        <w:widowControl/>
        <w:spacing w:line="432" w:lineRule="auto"/>
        <w:ind w:firstLine="480"/>
        <w:rPr>
          <w:rFonts w:ascii="宋体" w:hAnsi="宋体" w:cs="宋体"/>
          <w:color w:val="333333"/>
          <w:kern w:val="0"/>
          <w:szCs w:val="21"/>
        </w:rPr>
      </w:pPr>
      <w:r>
        <w:rPr>
          <w:rFonts w:hint="eastAsia" w:ascii="宋体" w:hAnsi="宋体" w:cs="宋体"/>
          <w:b/>
          <w:bCs/>
          <w:color w:val="333333"/>
          <w:kern w:val="0"/>
          <w:szCs w:val="21"/>
        </w:rPr>
        <w:t>五、保障措施</w:t>
      </w:r>
    </w:p>
    <w:p w14:paraId="5E4682D0">
      <w:pPr>
        <w:widowControl/>
        <w:spacing w:line="432" w:lineRule="auto"/>
        <w:ind w:firstLine="480"/>
        <w:rPr>
          <w:rFonts w:ascii="宋体" w:hAnsi="宋体" w:cs="宋体"/>
          <w:color w:val="333333"/>
          <w:kern w:val="0"/>
          <w:szCs w:val="21"/>
        </w:rPr>
      </w:pPr>
      <w:r>
        <w:rPr>
          <w:rFonts w:hint="eastAsia" w:ascii="楷体" w:hAnsi="楷体" w:eastAsia="楷体" w:cs="宋体"/>
          <w:color w:val="333333"/>
          <w:kern w:val="0"/>
          <w:szCs w:val="21"/>
        </w:rPr>
        <w:t>（一）加强组织领导。</w:t>
      </w:r>
      <w:r>
        <w:rPr>
          <w:rFonts w:hint="eastAsia" w:ascii="宋体" w:hAnsi="宋体" w:cs="宋体"/>
          <w:color w:val="333333"/>
          <w:kern w:val="0"/>
          <w:szCs w:val="21"/>
        </w:rPr>
        <w:t>承担试点任务的省（区、市）人民政府要高度重视，按照本方案确定的原则目标、试点内容和工作进度，精心组织实施，加强经费保障；各级政务公开领导小组要发挥统筹协调作用，及时研究解决试点工作中的困难和问题，确保试点工作顺利开展、取得实效；试点单位要进一步强化机构和人员保障，确保有专人负责推进试点相关工作。国务院有关部门要抓紧编制完成本部门本系统主动公开事项基本目录，同时对试点工作提供必要的指导和支持。国务院标准化主管部门要配合做好试点工作跟踪评估、参与制定政务公开相关标准等工作。</w:t>
      </w:r>
    </w:p>
    <w:p w14:paraId="4C7C3731">
      <w:pPr>
        <w:widowControl/>
        <w:spacing w:line="432" w:lineRule="auto"/>
        <w:ind w:firstLine="480"/>
        <w:rPr>
          <w:rFonts w:ascii="宋体" w:hAnsi="宋体" w:cs="宋体"/>
          <w:color w:val="333333"/>
          <w:kern w:val="0"/>
          <w:szCs w:val="21"/>
        </w:rPr>
      </w:pPr>
      <w:r>
        <w:rPr>
          <w:rFonts w:hint="eastAsia" w:ascii="楷体" w:hAnsi="楷体" w:eastAsia="楷体" w:cs="宋体"/>
          <w:color w:val="333333"/>
          <w:kern w:val="0"/>
          <w:szCs w:val="21"/>
        </w:rPr>
        <w:t>（二）鼓励探索创新。</w:t>
      </w:r>
      <w:r>
        <w:rPr>
          <w:rFonts w:hint="eastAsia" w:ascii="宋体" w:hAnsi="宋体" w:cs="宋体"/>
          <w:color w:val="333333"/>
          <w:kern w:val="0"/>
          <w:szCs w:val="21"/>
        </w:rPr>
        <w:t>试点单位要充分认识试点工作的重要意义，在省（区、市）人民政府的组织领导下，结合实际开展试点，积极探索，创新工作机制和方式方法，深入推进“五公开”和政策解读、回应关切、公众参与等工作的标准化规范化。要通过开展社会评价或者第三方评估，广泛收集公众对试点工作及成效的评价意见，持续改进工作，不断提升公众满意度和获得感。</w:t>
      </w:r>
    </w:p>
    <w:p w14:paraId="0D92CDA3">
      <w:pPr>
        <w:widowControl/>
        <w:spacing w:line="432" w:lineRule="auto"/>
        <w:ind w:firstLine="480"/>
        <w:rPr>
          <w:rFonts w:ascii="宋体" w:hAnsi="宋体" w:cs="宋体"/>
          <w:color w:val="333333"/>
          <w:kern w:val="0"/>
          <w:szCs w:val="21"/>
        </w:rPr>
      </w:pPr>
      <w:r>
        <w:rPr>
          <w:rFonts w:hint="eastAsia" w:ascii="楷体" w:hAnsi="楷体" w:eastAsia="楷体" w:cs="宋体"/>
          <w:color w:val="333333"/>
          <w:kern w:val="0"/>
          <w:szCs w:val="21"/>
        </w:rPr>
        <w:t>（三）加强工作交流。</w:t>
      </w:r>
      <w:r>
        <w:rPr>
          <w:rFonts w:hint="eastAsia" w:ascii="宋体" w:hAnsi="宋体" w:cs="宋体"/>
          <w:color w:val="333333"/>
          <w:kern w:val="0"/>
          <w:szCs w:val="21"/>
        </w:rPr>
        <w:t>承担试点任务的省（区、市）人民政府要在政府网站首页开设试点工作专题，集中展示本地区各试点单位的试点工作情况，并采取多种方式加强交流，促进相互学习借鉴。国务院办公厅将跟踪了解试点工作进展情况，适时对试点单位的经验做法组织交流。</w:t>
      </w:r>
    </w:p>
    <w:p w14:paraId="126566A0">
      <w:pPr>
        <w:widowControl/>
        <w:spacing w:line="432" w:lineRule="auto"/>
        <w:ind w:firstLine="480"/>
        <w:rPr>
          <w:rFonts w:ascii="宋体" w:hAnsi="宋体" w:cs="宋体"/>
          <w:color w:val="333333"/>
          <w:kern w:val="0"/>
          <w:szCs w:val="21"/>
        </w:rPr>
      </w:pPr>
      <w:r>
        <w:rPr>
          <w:rFonts w:hint="eastAsia" w:ascii="楷体" w:hAnsi="楷体" w:eastAsia="楷体" w:cs="宋体"/>
          <w:color w:val="333333"/>
          <w:kern w:val="0"/>
          <w:szCs w:val="21"/>
        </w:rPr>
        <w:t>（四）做好考核评估。</w:t>
      </w:r>
      <w:r>
        <w:rPr>
          <w:rFonts w:hint="eastAsia" w:ascii="宋体" w:hAnsi="宋体" w:cs="宋体"/>
          <w:color w:val="333333"/>
          <w:kern w:val="0"/>
          <w:szCs w:val="21"/>
        </w:rPr>
        <w:t>承担试点任务的省（区、市）人民政府要建立激励机制，加强督促检查，把试点任务纳入政务公开工作绩效考核。国务院办公厅将对试点工作进行总结评估，提出在全国基层政府推广的意见，并对试点工作成效突出的地方给予通报表扬。</w:t>
      </w:r>
    </w:p>
    <w:p w14:paraId="3562B096">
      <w:pPr>
        <w:widowControl/>
        <w:spacing w:line="432" w:lineRule="auto"/>
        <w:ind w:firstLine="480"/>
        <w:rPr>
          <w:rFonts w:ascii="宋体" w:hAnsi="宋体" w:cs="宋体"/>
          <w:color w:val="333333"/>
          <w:kern w:val="0"/>
          <w:szCs w:val="21"/>
        </w:rPr>
      </w:pPr>
      <w:r>
        <w:rPr>
          <w:rFonts w:hint="eastAsia" w:ascii="宋体" w:hAnsi="宋体" w:cs="宋体"/>
          <w:color w:val="333333"/>
          <w:kern w:val="0"/>
          <w:szCs w:val="21"/>
        </w:rPr>
        <w:t>附件：试点单位及试点内容表</w:t>
      </w:r>
    </w:p>
    <w:p w14:paraId="3351792F">
      <w:pPr>
        <w:shd w:val="clear" w:color="auto" w:fill="FFFFFF"/>
        <w:spacing w:line="360" w:lineRule="atLeast"/>
        <w:ind w:firstLine="480"/>
        <w:rPr>
          <w:rFonts w:ascii="Arial" w:hAnsi="Arial" w:cs="Arial"/>
          <w:color w:val="333333"/>
          <w:szCs w:val="21"/>
        </w:rPr>
      </w:pPr>
    </w:p>
    <w:p w14:paraId="23A57453">
      <w:pPr>
        <w:shd w:val="clear" w:color="auto" w:fill="FFFFFF"/>
        <w:spacing w:line="360" w:lineRule="atLeast"/>
        <w:ind w:firstLine="480"/>
        <w:jc w:val="center"/>
        <w:rPr>
          <w:rFonts w:ascii="黑体" w:hAnsi="黑体" w:eastAsia="黑体" w:cs="Arial"/>
          <w:color w:val="333333"/>
          <w:sz w:val="32"/>
          <w:szCs w:val="32"/>
        </w:rPr>
      </w:pPr>
      <w:bookmarkStart w:id="4" w:name="2"/>
      <w:bookmarkEnd w:id="4"/>
      <w:bookmarkStart w:id="5" w:name="管理办法"/>
      <w:bookmarkEnd w:id="5"/>
      <w:bookmarkStart w:id="6" w:name="sub21490657_2"/>
      <w:bookmarkEnd w:id="6"/>
      <w:r>
        <w:rPr>
          <w:rFonts w:ascii="黑体" w:hAnsi="黑体" w:eastAsia="黑体" w:cs="Arial"/>
          <w:bCs/>
          <w:color w:val="333333"/>
          <w:sz w:val="32"/>
          <w:szCs w:val="32"/>
        </w:rPr>
        <w:t>农业生产发展资金管理办法</w:t>
      </w:r>
    </w:p>
    <w:p w14:paraId="1E0D1D05">
      <w:pPr>
        <w:shd w:val="clear" w:color="auto" w:fill="FFFFFF"/>
        <w:spacing w:line="360" w:lineRule="atLeast"/>
        <w:ind w:firstLine="480"/>
        <w:rPr>
          <w:rFonts w:ascii="Arial" w:hAnsi="Arial" w:cs="Arial"/>
          <w:color w:val="333333"/>
          <w:szCs w:val="21"/>
        </w:rPr>
      </w:pPr>
      <w:r>
        <w:rPr>
          <w:rFonts w:ascii="Arial" w:hAnsi="Arial" w:cs="Arial"/>
          <w:b/>
          <w:bCs/>
          <w:color w:val="333333"/>
          <w:szCs w:val="21"/>
        </w:rPr>
        <w:t>第一章 总则</w:t>
      </w:r>
    </w:p>
    <w:p w14:paraId="48FC00D6">
      <w:pPr>
        <w:shd w:val="clear" w:color="auto" w:fill="FFFFFF"/>
        <w:spacing w:line="360" w:lineRule="atLeast"/>
        <w:ind w:firstLine="480"/>
        <w:rPr>
          <w:rFonts w:ascii="Arial" w:hAnsi="Arial" w:cs="Arial"/>
          <w:color w:val="333333"/>
          <w:szCs w:val="21"/>
        </w:rPr>
      </w:pPr>
      <w:r>
        <w:rPr>
          <w:rFonts w:ascii="Arial" w:hAnsi="Arial" w:cs="Arial"/>
          <w:color w:val="333333"/>
          <w:szCs w:val="21"/>
        </w:rPr>
        <w:t>第一条 为加强和规范农业生产发展资金管理，推进资金统筹使用，提高资金使用效益，增强农业综合生产能力，根据《</w:t>
      </w:r>
      <w:r>
        <w:fldChar w:fldCharType="begin"/>
      </w:r>
      <w:r>
        <w:instrText xml:space="preserve"> HYPERLINK "https://baike.baidu.com/item/%E4%B8%AD%E5%8D%8E%E4%BA%BA%E6%B0%91%E5%85%B1%E5%92%8C%E5%9B%BD%E9%A2%84%E7%AE%97%E6%B3%95" \t "_blank" </w:instrText>
      </w:r>
      <w:r>
        <w:fldChar w:fldCharType="separate"/>
      </w:r>
      <w:r>
        <w:rPr>
          <w:rFonts w:ascii="Arial" w:hAnsi="Arial" w:cs="Arial"/>
          <w:color w:val="136EC2"/>
          <w:szCs w:val="21"/>
        </w:rPr>
        <w:t>中华人民共和国预算法</w:t>
      </w:r>
      <w:r>
        <w:rPr>
          <w:rFonts w:ascii="Arial" w:hAnsi="Arial" w:cs="Arial"/>
          <w:color w:val="136EC2"/>
          <w:szCs w:val="21"/>
        </w:rPr>
        <w:fldChar w:fldCharType="end"/>
      </w:r>
      <w:r>
        <w:rPr>
          <w:rFonts w:ascii="Arial" w:hAnsi="Arial" w:cs="Arial"/>
          <w:color w:val="333333"/>
          <w:szCs w:val="21"/>
        </w:rPr>
        <w:t>》、《国务院关于印发推进财政资金统筹使用方案的通知》（国发〔2015〕35号）、《中央对地方专项转移支付管理办法》（财预〔2015〕230号）等有关法律法规，制定本办法。</w:t>
      </w:r>
    </w:p>
    <w:p w14:paraId="5192D02A">
      <w:pPr>
        <w:shd w:val="clear" w:color="auto" w:fill="FFFFFF"/>
        <w:spacing w:line="360" w:lineRule="atLeast"/>
        <w:ind w:firstLine="480"/>
        <w:rPr>
          <w:rFonts w:ascii="Arial" w:hAnsi="Arial" w:cs="Arial"/>
          <w:color w:val="333333"/>
          <w:szCs w:val="21"/>
        </w:rPr>
      </w:pPr>
      <w:r>
        <w:rPr>
          <w:rFonts w:ascii="Arial" w:hAnsi="Arial" w:cs="Arial"/>
          <w:color w:val="333333"/>
          <w:szCs w:val="21"/>
        </w:rPr>
        <w:t>第二条 农业生产发展资金是中央财政公共预算安排用于促进农业生产、优化产业结构、推动产业融合、提高农业效能等的专项转移支付资金。</w:t>
      </w:r>
    </w:p>
    <w:p w14:paraId="1121614B">
      <w:pPr>
        <w:shd w:val="clear" w:color="auto" w:fill="FFFFFF"/>
        <w:spacing w:line="360" w:lineRule="atLeast"/>
        <w:ind w:firstLine="480"/>
        <w:rPr>
          <w:rFonts w:ascii="Arial" w:hAnsi="Arial" w:cs="Arial"/>
          <w:color w:val="333333"/>
          <w:szCs w:val="21"/>
        </w:rPr>
      </w:pPr>
      <w:r>
        <w:rPr>
          <w:rFonts w:ascii="Arial" w:hAnsi="Arial" w:cs="Arial"/>
          <w:color w:val="333333"/>
          <w:szCs w:val="21"/>
        </w:rPr>
        <w:t>第三条 农业生产发展资金由财政部会同农业部共同管理，按照“政策目标明确、分配办法科学、支出方向协调、绩效结果导向”的原则分配、使用和管理。</w:t>
      </w:r>
    </w:p>
    <w:p w14:paraId="0BBB4A86">
      <w:pPr>
        <w:shd w:val="clear" w:color="auto" w:fill="FFFFFF"/>
        <w:spacing w:line="360" w:lineRule="atLeast"/>
        <w:ind w:firstLine="480"/>
        <w:rPr>
          <w:rFonts w:ascii="Arial" w:hAnsi="Arial" w:cs="Arial"/>
          <w:color w:val="333333"/>
          <w:szCs w:val="21"/>
        </w:rPr>
      </w:pPr>
      <w:r>
        <w:rPr>
          <w:rFonts w:ascii="Arial" w:hAnsi="Arial" w:cs="Arial"/>
          <w:color w:val="333333"/>
          <w:szCs w:val="21"/>
        </w:rPr>
        <w:t>财政部负责农业生产发展资金中期财政规划和年度预算编制，会同农业部分配及下达资金，对资金使用情况进行监督和绩效管理。</w:t>
      </w:r>
    </w:p>
    <w:p w14:paraId="043D8E18">
      <w:pPr>
        <w:shd w:val="clear" w:color="auto" w:fill="FFFFFF"/>
        <w:spacing w:line="360" w:lineRule="atLeast"/>
        <w:ind w:firstLine="480"/>
        <w:rPr>
          <w:rFonts w:ascii="Arial" w:hAnsi="Arial" w:cs="Arial"/>
          <w:color w:val="333333"/>
          <w:szCs w:val="21"/>
        </w:rPr>
      </w:pPr>
      <w:r>
        <w:rPr>
          <w:rFonts w:ascii="Arial" w:hAnsi="Arial" w:cs="Arial"/>
          <w:color w:val="333333"/>
          <w:szCs w:val="21"/>
        </w:rPr>
        <w:t>农业部负责相关产业发展规划编制，指导、推动和监督开展农业生产发展工作，会同财政部下达年度工作任务（任务清单），做好资金测算、任务完成情况监督，绩效目标制定、绩效监控和评价等工作。</w:t>
      </w:r>
    </w:p>
    <w:p w14:paraId="24E4F5B5">
      <w:pPr>
        <w:shd w:val="clear" w:color="auto" w:fill="FFFFFF"/>
        <w:spacing w:line="360" w:lineRule="atLeast"/>
        <w:ind w:firstLine="480"/>
        <w:rPr>
          <w:rFonts w:ascii="Arial" w:hAnsi="Arial" w:cs="Arial"/>
          <w:color w:val="333333"/>
          <w:szCs w:val="21"/>
        </w:rPr>
      </w:pPr>
      <w:r>
        <w:rPr>
          <w:rFonts w:ascii="Arial" w:hAnsi="Arial" w:cs="Arial"/>
          <w:b/>
          <w:bCs/>
          <w:color w:val="333333"/>
          <w:szCs w:val="21"/>
        </w:rPr>
        <w:t>第二章 资金支出范围</w:t>
      </w:r>
    </w:p>
    <w:p w14:paraId="32074845">
      <w:pPr>
        <w:shd w:val="clear" w:color="auto" w:fill="FFFFFF"/>
        <w:spacing w:line="360" w:lineRule="atLeast"/>
        <w:ind w:firstLine="480"/>
        <w:rPr>
          <w:rFonts w:ascii="Arial" w:hAnsi="Arial" w:cs="Arial"/>
          <w:color w:val="333333"/>
          <w:szCs w:val="21"/>
        </w:rPr>
      </w:pPr>
      <w:r>
        <w:rPr>
          <w:rFonts w:ascii="Arial" w:hAnsi="Arial" w:cs="Arial"/>
          <w:color w:val="333333"/>
          <w:szCs w:val="21"/>
        </w:rPr>
        <w:t>第四条 农业生产发展资金主要用于耕地地力保护（直接发放给农民，下同）、适度规模经营、农机购置补贴、优势特色主导产业发展、绿色高效技术推广服务、畜牧水产发展、农村一二三产业融合、农民专业合作社发展、农业结构调整、地下水超采区综合治理（农业种植结构调整，下同）、新型职业农民培育等支出方向，以及党中央、国务院确定的支持农业生产发展的其他重点工作。</w:t>
      </w:r>
    </w:p>
    <w:p w14:paraId="3952CBF0">
      <w:pPr>
        <w:shd w:val="clear" w:color="auto" w:fill="FFFFFF"/>
        <w:spacing w:line="360" w:lineRule="atLeast"/>
        <w:ind w:firstLine="480"/>
        <w:rPr>
          <w:rFonts w:ascii="Arial" w:hAnsi="Arial" w:cs="Arial"/>
          <w:color w:val="333333"/>
          <w:szCs w:val="21"/>
        </w:rPr>
      </w:pPr>
      <w:r>
        <w:rPr>
          <w:rFonts w:ascii="Arial" w:hAnsi="Arial" w:cs="Arial"/>
          <w:color w:val="333333"/>
          <w:szCs w:val="21"/>
        </w:rPr>
        <w:t>第五条 耕地地力保护支出主要用于支持保护耕地地力。对已作为畜牧养殖场使用的耕地、林地、成片粮田转为设施农业用地、非农征（占）用耕地等已改变用途的耕地，以及长年抛荒地、占补平衡中“补”的面积和质量达不到耕种条件的耕地等不予补贴。</w:t>
      </w:r>
    </w:p>
    <w:p w14:paraId="0BDC58C5">
      <w:pPr>
        <w:shd w:val="clear" w:color="auto" w:fill="FFFFFF"/>
        <w:spacing w:line="360" w:lineRule="atLeast"/>
        <w:ind w:firstLine="480"/>
        <w:rPr>
          <w:rFonts w:ascii="Arial" w:hAnsi="Arial" w:cs="Arial"/>
          <w:color w:val="333333"/>
          <w:szCs w:val="21"/>
        </w:rPr>
      </w:pPr>
      <w:r>
        <w:rPr>
          <w:rFonts w:ascii="Arial" w:hAnsi="Arial" w:cs="Arial"/>
          <w:color w:val="333333"/>
          <w:szCs w:val="21"/>
        </w:rPr>
        <w:t>第六条 适度规模经营支出主要用于支持农业信贷担保体系建设运营、农业生产社会化服务等方面。</w:t>
      </w:r>
    </w:p>
    <w:p w14:paraId="43010A4E">
      <w:pPr>
        <w:shd w:val="clear" w:color="auto" w:fill="FFFFFF"/>
        <w:spacing w:line="360" w:lineRule="atLeast"/>
        <w:ind w:firstLine="480"/>
        <w:rPr>
          <w:rFonts w:ascii="Arial" w:hAnsi="Arial" w:cs="Arial"/>
          <w:color w:val="333333"/>
          <w:szCs w:val="21"/>
        </w:rPr>
      </w:pPr>
      <w:r>
        <w:rPr>
          <w:rFonts w:ascii="Arial" w:hAnsi="Arial" w:cs="Arial"/>
          <w:color w:val="333333"/>
          <w:szCs w:val="21"/>
        </w:rPr>
        <w:t>第七条 农机购置补贴支出主要用于支持购置先进适用农业机械，以及开展报废更新、新产品试点等方面。</w:t>
      </w:r>
    </w:p>
    <w:p w14:paraId="2A40F846">
      <w:pPr>
        <w:shd w:val="clear" w:color="auto" w:fill="FFFFFF"/>
        <w:spacing w:line="360" w:lineRule="atLeast"/>
        <w:ind w:firstLine="480"/>
        <w:rPr>
          <w:rFonts w:ascii="Arial" w:hAnsi="Arial" w:cs="Arial"/>
          <w:color w:val="333333"/>
          <w:szCs w:val="21"/>
        </w:rPr>
      </w:pPr>
      <w:r>
        <w:rPr>
          <w:rFonts w:ascii="Arial" w:hAnsi="Arial" w:cs="Arial"/>
          <w:color w:val="333333"/>
          <w:szCs w:val="21"/>
        </w:rPr>
        <w:t>第八条 优势特色主导产业发展支出主要用于支持区域优势、地方特色的农业主导产业发展，国家现代农业产业园建设等方面。</w:t>
      </w:r>
    </w:p>
    <w:p w14:paraId="2A34B3F9">
      <w:pPr>
        <w:shd w:val="clear" w:color="auto" w:fill="FFFFFF"/>
        <w:spacing w:line="360" w:lineRule="atLeast"/>
        <w:ind w:firstLine="480"/>
        <w:rPr>
          <w:rFonts w:ascii="Arial" w:hAnsi="Arial" w:cs="Arial"/>
          <w:color w:val="333333"/>
          <w:szCs w:val="21"/>
        </w:rPr>
      </w:pPr>
      <w:r>
        <w:rPr>
          <w:rFonts w:ascii="Arial" w:hAnsi="Arial" w:cs="Arial"/>
          <w:color w:val="333333"/>
          <w:szCs w:val="21"/>
        </w:rPr>
        <w:t>第九条 绿色高效技术推广服务支出主要用于支持高产创建、良种良法、深松整地、施用有机肥、旱作农业等重大农业技术推广与服务，基层农技推广体系改革与建设等方面。</w:t>
      </w:r>
    </w:p>
    <w:p w14:paraId="040A3C72">
      <w:pPr>
        <w:shd w:val="clear" w:color="auto" w:fill="FFFFFF"/>
        <w:spacing w:line="360" w:lineRule="atLeast"/>
        <w:ind w:firstLine="480"/>
        <w:rPr>
          <w:rFonts w:ascii="Arial" w:hAnsi="Arial" w:cs="Arial"/>
          <w:color w:val="333333"/>
          <w:szCs w:val="21"/>
        </w:rPr>
      </w:pPr>
      <w:r>
        <w:rPr>
          <w:rFonts w:ascii="Arial" w:hAnsi="Arial" w:cs="Arial"/>
          <w:color w:val="333333"/>
          <w:szCs w:val="21"/>
        </w:rPr>
        <w:t>第十条 畜牧水产发展支出主要用于支持畜禽粪污处理与资源化利用、南方现代草地畜牧业发展、优质高效苜蓿示范基地建设、畜牧水产标准化养殖及畜牧良种推广等方面。</w:t>
      </w:r>
    </w:p>
    <w:p w14:paraId="36422837">
      <w:pPr>
        <w:shd w:val="clear" w:color="auto" w:fill="FFFFFF"/>
        <w:spacing w:line="360" w:lineRule="atLeast"/>
        <w:ind w:firstLine="480"/>
        <w:rPr>
          <w:rFonts w:ascii="Arial" w:hAnsi="Arial" w:cs="Arial"/>
          <w:color w:val="333333"/>
          <w:szCs w:val="21"/>
        </w:rPr>
      </w:pPr>
      <w:r>
        <w:rPr>
          <w:rFonts w:ascii="Arial" w:hAnsi="Arial" w:cs="Arial"/>
          <w:color w:val="333333"/>
          <w:szCs w:val="21"/>
        </w:rPr>
        <w:t>第十一条 农村一二三产业融合发展支出主要用于支持农产品产地初加工、产品流通和直供直销、农村电子商务、休闲农业、农业农村信息化等方面。</w:t>
      </w:r>
    </w:p>
    <w:p w14:paraId="220D3A80">
      <w:pPr>
        <w:shd w:val="clear" w:color="auto" w:fill="FFFFFF"/>
        <w:spacing w:line="360" w:lineRule="atLeast"/>
        <w:ind w:firstLine="480"/>
        <w:rPr>
          <w:rFonts w:ascii="Arial" w:hAnsi="Arial" w:cs="Arial"/>
          <w:color w:val="333333"/>
          <w:szCs w:val="21"/>
        </w:rPr>
      </w:pPr>
      <w:r>
        <w:rPr>
          <w:rFonts w:ascii="Arial" w:hAnsi="Arial" w:cs="Arial"/>
          <w:color w:val="333333"/>
          <w:szCs w:val="21"/>
        </w:rPr>
        <w:t>第十二条 农民专业合作社支出主要用于支持加快农民专业合作组织发展，提高农民组织化程度等方面。</w:t>
      </w:r>
    </w:p>
    <w:p w14:paraId="28DCE98C">
      <w:pPr>
        <w:shd w:val="clear" w:color="auto" w:fill="FFFFFF"/>
        <w:spacing w:line="360" w:lineRule="atLeast"/>
        <w:ind w:firstLine="480"/>
        <w:rPr>
          <w:rFonts w:ascii="Arial" w:hAnsi="Arial" w:cs="Arial"/>
          <w:color w:val="333333"/>
          <w:szCs w:val="21"/>
        </w:rPr>
      </w:pPr>
      <w:r>
        <w:rPr>
          <w:rFonts w:ascii="Arial" w:hAnsi="Arial" w:cs="Arial"/>
          <w:color w:val="333333"/>
          <w:szCs w:val="21"/>
        </w:rPr>
        <w:t>第十三条 农业结构调整支出主要用于支持粮改豆、粮改饲、耕地休耕、重金属污染耕地修复及种植结构调整等方面。</w:t>
      </w:r>
    </w:p>
    <w:p w14:paraId="07B2669B">
      <w:pPr>
        <w:shd w:val="clear" w:color="auto" w:fill="FFFFFF"/>
        <w:spacing w:line="360" w:lineRule="atLeast"/>
        <w:ind w:firstLine="480"/>
        <w:rPr>
          <w:rFonts w:ascii="Arial" w:hAnsi="Arial" w:cs="Arial"/>
          <w:color w:val="333333"/>
          <w:szCs w:val="21"/>
        </w:rPr>
      </w:pPr>
      <w:r>
        <w:rPr>
          <w:rFonts w:ascii="Arial" w:hAnsi="Arial" w:cs="Arial"/>
          <w:color w:val="333333"/>
          <w:szCs w:val="21"/>
        </w:rPr>
        <w:t>第十四条 地下水超采区综合治理支出主要用于支持地下水超采重点地区开展农业种植结构调整等方面。</w:t>
      </w:r>
    </w:p>
    <w:p w14:paraId="4E323850">
      <w:pPr>
        <w:shd w:val="clear" w:color="auto" w:fill="FFFFFF"/>
        <w:spacing w:line="360" w:lineRule="atLeast"/>
        <w:ind w:firstLine="480"/>
        <w:rPr>
          <w:rFonts w:ascii="Arial" w:hAnsi="Arial" w:cs="Arial"/>
          <w:color w:val="333333"/>
          <w:szCs w:val="21"/>
        </w:rPr>
      </w:pPr>
      <w:r>
        <w:rPr>
          <w:rFonts w:ascii="Arial" w:hAnsi="Arial" w:cs="Arial"/>
          <w:color w:val="333333"/>
          <w:szCs w:val="21"/>
        </w:rPr>
        <w:t>第十五条 新型职业农民培育支出主要用于支持培育新型职业农民等方面。</w:t>
      </w:r>
    </w:p>
    <w:p w14:paraId="020F478E">
      <w:pPr>
        <w:shd w:val="clear" w:color="auto" w:fill="FFFFFF"/>
        <w:spacing w:line="360" w:lineRule="atLeast"/>
        <w:ind w:firstLine="480"/>
        <w:rPr>
          <w:rFonts w:ascii="Arial" w:hAnsi="Arial" w:cs="Arial"/>
          <w:color w:val="333333"/>
          <w:szCs w:val="21"/>
        </w:rPr>
      </w:pPr>
      <w:r>
        <w:rPr>
          <w:rFonts w:ascii="Arial" w:hAnsi="Arial" w:cs="Arial"/>
          <w:color w:val="333333"/>
          <w:szCs w:val="21"/>
        </w:rPr>
        <w:t>第十六条 农业生产发展资金不得用于兴建楼堂馆所、弥补预算支出缺口等与农业生产发展无关的支出。</w:t>
      </w:r>
    </w:p>
    <w:p w14:paraId="23E4DCF4">
      <w:pPr>
        <w:shd w:val="clear" w:color="auto" w:fill="FFFFFF"/>
        <w:spacing w:line="360" w:lineRule="atLeast"/>
        <w:ind w:firstLine="480"/>
        <w:rPr>
          <w:rFonts w:ascii="Arial" w:hAnsi="Arial" w:cs="Arial"/>
          <w:color w:val="333333"/>
          <w:szCs w:val="21"/>
        </w:rPr>
      </w:pPr>
      <w:r>
        <w:rPr>
          <w:rFonts w:ascii="Arial" w:hAnsi="Arial" w:cs="Arial"/>
          <w:color w:val="333333"/>
          <w:szCs w:val="21"/>
        </w:rPr>
        <w:t>第十七条 农业生产发展资金的支持对象主要是农民，新型农业经营主体，以及承担项目任务的单位和个人。</w:t>
      </w:r>
    </w:p>
    <w:p w14:paraId="215931E5">
      <w:pPr>
        <w:shd w:val="clear" w:color="auto" w:fill="FFFFFF"/>
        <w:spacing w:line="360" w:lineRule="atLeast"/>
        <w:ind w:firstLine="480"/>
        <w:rPr>
          <w:rFonts w:ascii="Arial" w:hAnsi="Arial" w:cs="Arial"/>
          <w:color w:val="333333"/>
          <w:szCs w:val="21"/>
        </w:rPr>
      </w:pPr>
      <w:r>
        <w:rPr>
          <w:rFonts w:ascii="Arial" w:hAnsi="Arial" w:cs="Arial"/>
          <w:color w:val="333333"/>
          <w:szCs w:val="21"/>
        </w:rPr>
        <w:t>第十八条 农业生产发展资金可以采取直接补助、政府购买服务、贴息、先建后补、以奖代补、资产折股量化、担保补助、设立基金等支持方式。具体由省级财政部门商农业主管部门确定。</w:t>
      </w:r>
    </w:p>
    <w:p w14:paraId="55B2ADC8">
      <w:pPr>
        <w:shd w:val="clear" w:color="auto" w:fill="FFFFFF"/>
        <w:spacing w:line="360" w:lineRule="atLeast"/>
        <w:ind w:firstLine="480"/>
        <w:rPr>
          <w:rFonts w:ascii="Arial" w:hAnsi="Arial" w:cs="Arial"/>
          <w:color w:val="333333"/>
          <w:szCs w:val="21"/>
        </w:rPr>
      </w:pPr>
      <w:r>
        <w:rPr>
          <w:rFonts w:ascii="Arial" w:hAnsi="Arial" w:cs="Arial"/>
          <w:b/>
          <w:bCs/>
          <w:color w:val="333333"/>
          <w:szCs w:val="21"/>
        </w:rPr>
        <w:t>第三章 资金分配和下达</w:t>
      </w:r>
    </w:p>
    <w:p w14:paraId="76A3E8A8">
      <w:pPr>
        <w:shd w:val="clear" w:color="auto" w:fill="FFFFFF"/>
        <w:spacing w:line="360" w:lineRule="atLeast"/>
        <w:ind w:firstLine="480"/>
        <w:rPr>
          <w:rFonts w:ascii="Arial" w:hAnsi="Arial" w:cs="Arial"/>
          <w:color w:val="333333"/>
          <w:szCs w:val="21"/>
        </w:rPr>
      </w:pPr>
      <w:r>
        <w:rPr>
          <w:rFonts w:ascii="Arial" w:hAnsi="Arial" w:cs="Arial"/>
          <w:color w:val="333333"/>
          <w:szCs w:val="21"/>
        </w:rPr>
        <w:t>第十九条 农业生产发展资金主要按照因素法进行分配。资金分配的因素主要包括工作任务（任务清单）和工作成效等。工作任务（任务清单）分为约束性任务和指导性任务两类，不同支出方向的工作任务（任务清单）根据任务特点、政策目标等选择相应的具体因素和权重进行测算分配资金。工作成效主要以绩效目标评价结果为依据。用于耕地地力保护的资金及相关试点项目资金可根据需要采取定额分配方式。</w:t>
      </w:r>
    </w:p>
    <w:p w14:paraId="196DB1C0">
      <w:pPr>
        <w:shd w:val="clear" w:color="auto" w:fill="FFFFFF"/>
        <w:spacing w:line="360" w:lineRule="atLeast"/>
        <w:ind w:firstLine="480"/>
        <w:rPr>
          <w:rFonts w:ascii="Arial" w:hAnsi="Arial" w:cs="Arial"/>
          <w:color w:val="333333"/>
          <w:szCs w:val="21"/>
        </w:rPr>
      </w:pPr>
      <w:r>
        <w:rPr>
          <w:rFonts w:ascii="Arial" w:hAnsi="Arial" w:cs="Arial"/>
          <w:color w:val="333333"/>
          <w:szCs w:val="21"/>
        </w:rPr>
        <w:t>第二十条 农业部于每年5月15日前，提出当年农业生产发展资金分支出方向的各省分配建议，函报财政部。</w:t>
      </w:r>
    </w:p>
    <w:p w14:paraId="7E13DFCA">
      <w:pPr>
        <w:shd w:val="clear" w:color="auto" w:fill="FFFFFF"/>
        <w:spacing w:line="360" w:lineRule="atLeast"/>
        <w:ind w:firstLine="480"/>
        <w:rPr>
          <w:rFonts w:ascii="Arial" w:hAnsi="Arial" w:cs="Arial"/>
          <w:color w:val="333333"/>
          <w:szCs w:val="21"/>
        </w:rPr>
      </w:pPr>
      <w:r>
        <w:rPr>
          <w:rFonts w:ascii="Arial" w:hAnsi="Arial" w:cs="Arial"/>
          <w:color w:val="333333"/>
          <w:szCs w:val="21"/>
        </w:rPr>
        <w:t>第二十一条 财政部在全国人民代表大会批准预算后90日内，根据年度预算安排和农业部分配建议函等，审核下达当年农业生产发展资金，抄送农业部和各地专员办。农业生产发展资金分配结果在预算下达文件印发后20日内向社会公开。</w:t>
      </w:r>
    </w:p>
    <w:p w14:paraId="515F49D6">
      <w:pPr>
        <w:shd w:val="clear" w:color="auto" w:fill="FFFFFF"/>
        <w:spacing w:line="360" w:lineRule="atLeast"/>
        <w:ind w:firstLine="480"/>
        <w:rPr>
          <w:rFonts w:ascii="Arial" w:hAnsi="Arial" w:cs="Arial"/>
          <w:color w:val="333333"/>
          <w:szCs w:val="21"/>
        </w:rPr>
      </w:pPr>
      <w:r>
        <w:rPr>
          <w:rFonts w:ascii="Arial" w:hAnsi="Arial" w:cs="Arial"/>
          <w:color w:val="333333"/>
          <w:szCs w:val="21"/>
        </w:rPr>
        <w:t>第二十二条 农业生产发展资金的支付，按照国库集中支付制度有关规定执行。属于政府采购管理范围的，按照政府采购有关规定执行。</w:t>
      </w:r>
    </w:p>
    <w:p w14:paraId="7990BAB5">
      <w:pPr>
        <w:shd w:val="clear" w:color="auto" w:fill="FFFFFF"/>
        <w:spacing w:line="360" w:lineRule="atLeast"/>
        <w:ind w:firstLine="480"/>
        <w:rPr>
          <w:rFonts w:ascii="Arial" w:hAnsi="Arial" w:cs="Arial"/>
          <w:color w:val="333333"/>
          <w:szCs w:val="21"/>
        </w:rPr>
      </w:pPr>
      <w:r>
        <w:rPr>
          <w:rFonts w:ascii="Arial" w:hAnsi="Arial" w:cs="Arial"/>
          <w:color w:val="333333"/>
          <w:szCs w:val="21"/>
        </w:rPr>
        <w:t>用于耕地地力保护的资金，按规定通过粮食风险基金专户下达拨付。</w:t>
      </w:r>
    </w:p>
    <w:p w14:paraId="12CE4476">
      <w:pPr>
        <w:shd w:val="clear" w:color="auto" w:fill="FFFFFF"/>
        <w:spacing w:line="360" w:lineRule="atLeast"/>
        <w:ind w:firstLine="480"/>
        <w:rPr>
          <w:rFonts w:ascii="Arial" w:hAnsi="Arial" w:cs="Arial"/>
          <w:color w:val="333333"/>
          <w:szCs w:val="21"/>
        </w:rPr>
      </w:pPr>
      <w:r>
        <w:rPr>
          <w:rFonts w:ascii="Arial" w:hAnsi="Arial" w:cs="Arial"/>
          <w:b/>
          <w:bCs/>
          <w:color w:val="333333"/>
          <w:szCs w:val="21"/>
        </w:rPr>
        <w:t>第四章 资金使用和管理</w:t>
      </w:r>
    </w:p>
    <w:p w14:paraId="1E467F1C">
      <w:pPr>
        <w:shd w:val="clear" w:color="auto" w:fill="FFFFFF"/>
        <w:spacing w:line="360" w:lineRule="atLeast"/>
        <w:ind w:firstLine="480"/>
        <w:rPr>
          <w:rFonts w:ascii="Arial" w:hAnsi="Arial" w:cs="Arial"/>
          <w:color w:val="333333"/>
          <w:szCs w:val="21"/>
        </w:rPr>
      </w:pPr>
      <w:r>
        <w:rPr>
          <w:rFonts w:ascii="Arial" w:hAnsi="Arial" w:cs="Arial"/>
          <w:color w:val="333333"/>
          <w:szCs w:val="21"/>
        </w:rPr>
        <w:t>第二十三条 农业生产发展资金实行“大专项+任务清单”管理方式，除用于约束性任务的资金不允许统筹以外，各省可对其他资金在本专项的支出方向范围内统筹使用，并应当全面落实预算信息公开的要求。</w:t>
      </w:r>
    </w:p>
    <w:p w14:paraId="2FF9AD72">
      <w:pPr>
        <w:shd w:val="clear" w:color="auto" w:fill="FFFFFF"/>
        <w:spacing w:line="360" w:lineRule="atLeast"/>
        <w:ind w:firstLine="480"/>
        <w:rPr>
          <w:rFonts w:ascii="Arial" w:hAnsi="Arial" w:cs="Arial"/>
          <w:color w:val="333333"/>
          <w:szCs w:val="21"/>
        </w:rPr>
      </w:pPr>
      <w:r>
        <w:rPr>
          <w:rFonts w:ascii="Arial" w:hAnsi="Arial" w:cs="Arial"/>
          <w:color w:val="333333"/>
          <w:szCs w:val="21"/>
        </w:rPr>
        <w:t>第二十四条 各级财政、农业主管部门应当加快预算执行，提高资金使用效益。结转结余的农业生产发展资金，按照财政部关于结转结余资金管理的有关规定处理。</w:t>
      </w:r>
    </w:p>
    <w:p w14:paraId="09D13E1A">
      <w:pPr>
        <w:shd w:val="clear" w:color="auto" w:fill="FFFFFF"/>
        <w:spacing w:line="360" w:lineRule="atLeast"/>
        <w:ind w:firstLine="480"/>
        <w:rPr>
          <w:rFonts w:ascii="Arial" w:hAnsi="Arial" w:cs="Arial"/>
          <w:color w:val="333333"/>
          <w:szCs w:val="21"/>
        </w:rPr>
      </w:pPr>
      <w:r>
        <w:rPr>
          <w:rFonts w:ascii="Arial" w:hAnsi="Arial" w:cs="Arial"/>
          <w:color w:val="333333"/>
          <w:szCs w:val="21"/>
        </w:rPr>
        <w:t>第二十五条 省级财政部门会同农业主管部门，根据本办法和财政部、农业部下发的工作任务（任务清单）和绩效目标，结合本地区农业生产发展实际情况，制定本省年度资金使用方案，于8月31日前以正式文件报财政部、农业部备案，抄送当地专员办。</w:t>
      </w:r>
    </w:p>
    <w:p w14:paraId="5FD26290">
      <w:pPr>
        <w:shd w:val="clear" w:color="auto" w:fill="FFFFFF"/>
        <w:spacing w:line="360" w:lineRule="atLeast"/>
        <w:ind w:firstLine="480"/>
        <w:rPr>
          <w:rFonts w:ascii="Arial" w:hAnsi="Arial" w:cs="Arial"/>
          <w:color w:val="333333"/>
          <w:szCs w:val="21"/>
        </w:rPr>
      </w:pPr>
      <w:r>
        <w:rPr>
          <w:rFonts w:ascii="Arial" w:hAnsi="Arial" w:cs="Arial"/>
          <w:color w:val="333333"/>
          <w:szCs w:val="21"/>
        </w:rPr>
        <w:t>第二十六条 各级农业主管部门应当组织核实资金支持对象的资格、条件，督促检查工作任务（任务清单）完成情况，为财政部门按规定标准分配、审核拨付资金提供依据。</w:t>
      </w:r>
    </w:p>
    <w:p w14:paraId="225941B2">
      <w:pPr>
        <w:shd w:val="clear" w:color="auto" w:fill="FFFFFF"/>
        <w:spacing w:line="360" w:lineRule="atLeast"/>
        <w:ind w:firstLine="480"/>
        <w:rPr>
          <w:rFonts w:ascii="Arial" w:hAnsi="Arial" w:cs="Arial"/>
          <w:color w:val="333333"/>
          <w:szCs w:val="21"/>
        </w:rPr>
      </w:pPr>
      <w:r>
        <w:rPr>
          <w:rFonts w:ascii="Arial" w:hAnsi="Arial" w:cs="Arial"/>
          <w:b/>
          <w:bCs/>
          <w:color w:val="333333"/>
          <w:szCs w:val="21"/>
        </w:rPr>
        <w:t>第五章 监督检查和绩效评价</w:t>
      </w:r>
    </w:p>
    <w:p w14:paraId="1C3E909B">
      <w:pPr>
        <w:shd w:val="clear" w:color="auto" w:fill="FFFFFF"/>
        <w:spacing w:line="360" w:lineRule="atLeast"/>
        <w:ind w:firstLine="480"/>
        <w:rPr>
          <w:rFonts w:ascii="Arial" w:hAnsi="Arial" w:cs="Arial"/>
          <w:color w:val="333333"/>
          <w:szCs w:val="21"/>
        </w:rPr>
      </w:pPr>
      <w:r>
        <w:rPr>
          <w:rFonts w:ascii="Arial" w:hAnsi="Arial" w:cs="Arial"/>
          <w:color w:val="333333"/>
          <w:szCs w:val="21"/>
        </w:rPr>
        <w:t>第二十七条 各级财政、农业主管部门应当加强对农业生产发展资金分配、使用、管理情况的监督检查，发现问题及时纠正。各地专员办根据财政部、农业部确定的年度工作任务（任务清单）和区域绩效目标，加强农业生产发展资金预算执行监管，根据财政部计划安排开展监督检查，形成监管报告报送财政部。</w:t>
      </w:r>
    </w:p>
    <w:p w14:paraId="48DC8118">
      <w:pPr>
        <w:shd w:val="clear" w:color="auto" w:fill="FFFFFF"/>
        <w:spacing w:line="360" w:lineRule="atLeast"/>
        <w:ind w:firstLine="480"/>
        <w:rPr>
          <w:rFonts w:ascii="Arial" w:hAnsi="Arial" w:cs="Arial"/>
          <w:color w:val="333333"/>
          <w:szCs w:val="21"/>
        </w:rPr>
      </w:pPr>
      <w:r>
        <w:rPr>
          <w:rFonts w:ascii="Arial" w:hAnsi="Arial" w:cs="Arial"/>
          <w:color w:val="333333"/>
          <w:szCs w:val="21"/>
        </w:rPr>
        <w:t>第二十八条 农业生产发展资金使用管理实行绩效评价制度，评价结果作为农业生产发展资金分配的重要依据。农业生产发展资金绩效管理办法另行制定。</w:t>
      </w:r>
    </w:p>
    <w:p w14:paraId="62473BC0">
      <w:pPr>
        <w:shd w:val="clear" w:color="auto" w:fill="FFFFFF"/>
        <w:spacing w:line="360" w:lineRule="atLeast"/>
        <w:ind w:firstLine="480"/>
        <w:rPr>
          <w:rFonts w:ascii="Arial" w:hAnsi="Arial" w:cs="Arial"/>
          <w:color w:val="333333"/>
          <w:szCs w:val="21"/>
        </w:rPr>
      </w:pPr>
      <w:r>
        <w:rPr>
          <w:rFonts w:ascii="Arial" w:hAnsi="Arial" w:cs="Arial"/>
          <w:color w:val="333333"/>
          <w:szCs w:val="21"/>
        </w:rPr>
        <w:t>第二十九条 各级财政、农业主管部门及其工作人员在资金分配、审核等工作中，存在违反规定分配资金、向不符合条件的单位、个人（或项目）分配资金或者擅自超出规定的范围、标准分配或使用资金等，以及存在其他滥用职权、玩忽职守、徇私舞弊等违法违纪行为的，按照《中华人民共和国预算法》、《公务员法》、《行政监察法》、《财政违法行为处罚处分条例》等国家有关规定追究相关责任；涉嫌犯罪的，移送司法机关处理。</w:t>
      </w:r>
    </w:p>
    <w:p w14:paraId="48AD5E41">
      <w:pPr>
        <w:shd w:val="clear" w:color="auto" w:fill="FFFFFF"/>
        <w:spacing w:line="360" w:lineRule="atLeast"/>
        <w:ind w:firstLine="480"/>
        <w:rPr>
          <w:rFonts w:ascii="Arial" w:hAnsi="Arial" w:cs="Arial"/>
          <w:color w:val="333333"/>
          <w:szCs w:val="21"/>
        </w:rPr>
      </w:pPr>
      <w:r>
        <w:rPr>
          <w:rFonts w:ascii="Arial" w:hAnsi="Arial" w:cs="Arial"/>
          <w:color w:val="333333"/>
          <w:szCs w:val="21"/>
        </w:rPr>
        <w:t>第三十条 资金使用单位和个人虚报冒领、骗取套取、挤占挪用农业生产发展资金，以及存在其他违反本办法规定行为的，按照《预算法》、《财政违法行为处罚处分条例》等有关规定追究相应责任。</w:t>
      </w:r>
    </w:p>
    <w:p w14:paraId="6D932362">
      <w:pPr>
        <w:shd w:val="clear" w:color="auto" w:fill="FFFFFF"/>
        <w:spacing w:line="360" w:lineRule="atLeast"/>
        <w:ind w:firstLine="480"/>
        <w:rPr>
          <w:rFonts w:ascii="Arial" w:hAnsi="Arial" w:cs="Arial"/>
          <w:color w:val="333333"/>
          <w:szCs w:val="21"/>
        </w:rPr>
      </w:pPr>
      <w:r>
        <w:rPr>
          <w:rFonts w:ascii="Arial" w:hAnsi="Arial" w:cs="Arial"/>
          <w:b/>
          <w:bCs/>
          <w:color w:val="333333"/>
          <w:szCs w:val="21"/>
        </w:rPr>
        <w:t>第六章 附则</w:t>
      </w:r>
    </w:p>
    <w:p w14:paraId="2831C3AD">
      <w:pPr>
        <w:shd w:val="clear" w:color="auto" w:fill="FFFFFF"/>
        <w:spacing w:line="360" w:lineRule="atLeast"/>
        <w:ind w:firstLine="480"/>
        <w:rPr>
          <w:rFonts w:ascii="Arial" w:hAnsi="Arial" w:cs="Arial"/>
          <w:color w:val="333333"/>
          <w:szCs w:val="21"/>
        </w:rPr>
      </w:pPr>
      <w:r>
        <w:rPr>
          <w:rFonts w:ascii="Arial" w:hAnsi="Arial" w:cs="Arial"/>
          <w:color w:val="333333"/>
          <w:szCs w:val="21"/>
        </w:rPr>
        <w:t>第三十一条 农业生产发展资金中用于支持贫困县开展统筹整合使用财政涉农资金试点的部分，按照有关规定执行。</w:t>
      </w:r>
    </w:p>
    <w:p w14:paraId="3D311EC5">
      <w:pPr>
        <w:shd w:val="clear" w:color="auto" w:fill="FFFFFF"/>
        <w:spacing w:line="360" w:lineRule="atLeast"/>
        <w:ind w:firstLine="480"/>
        <w:rPr>
          <w:rFonts w:ascii="Arial" w:hAnsi="Arial" w:cs="Arial"/>
          <w:color w:val="333333"/>
          <w:szCs w:val="21"/>
        </w:rPr>
      </w:pPr>
      <w:r>
        <w:rPr>
          <w:rFonts w:ascii="Arial" w:hAnsi="Arial" w:cs="Arial"/>
          <w:color w:val="333333"/>
          <w:szCs w:val="21"/>
        </w:rPr>
        <w:t>第三十二条 省级财政部门应当会同农业主管部门根据本办法制定实施细则，报送财政部和农业部，抄送当地专员办。</w:t>
      </w:r>
    </w:p>
    <w:p w14:paraId="72283D47">
      <w:pPr>
        <w:shd w:val="clear" w:color="auto" w:fill="FFFFFF"/>
        <w:spacing w:line="360" w:lineRule="atLeast"/>
        <w:ind w:firstLine="480"/>
        <w:rPr>
          <w:rFonts w:ascii="Arial" w:hAnsi="Arial" w:cs="Arial"/>
          <w:color w:val="333333"/>
          <w:szCs w:val="21"/>
        </w:rPr>
      </w:pPr>
      <w:r>
        <w:rPr>
          <w:rFonts w:ascii="Arial" w:hAnsi="Arial" w:cs="Arial"/>
          <w:color w:val="333333"/>
          <w:szCs w:val="21"/>
        </w:rPr>
        <w:t>第三十三条 本办法所称省级、各省是指省、自治区、直辖市、计划单列市和新疆生产建设兵团。专员办是指财政部驻各省、自治区、直辖市、计划单列市财政监察专员办事处。农业主管部门是指农业、农牧、农村经济、畜牧兽医、渔业、农机、农垦等行政主管部门。</w:t>
      </w:r>
    </w:p>
    <w:p w14:paraId="24B65BBD">
      <w:pPr>
        <w:shd w:val="clear" w:color="auto" w:fill="FFFFFF"/>
        <w:spacing w:line="360" w:lineRule="atLeast"/>
        <w:ind w:firstLine="480"/>
        <w:rPr>
          <w:rFonts w:ascii="Arial" w:hAnsi="Arial" w:cs="Arial"/>
          <w:color w:val="333333"/>
          <w:szCs w:val="21"/>
        </w:rPr>
      </w:pPr>
      <w:r>
        <w:rPr>
          <w:rFonts w:ascii="Arial" w:hAnsi="Arial" w:cs="Arial"/>
          <w:color w:val="333333"/>
          <w:szCs w:val="21"/>
        </w:rPr>
        <w:t>第三十四条 本办法由财政部会同农业部负责解释。</w:t>
      </w:r>
    </w:p>
    <w:p w14:paraId="3079CD96">
      <w:pPr>
        <w:shd w:val="clear" w:color="auto" w:fill="FFFFFF"/>
        <w:spacing w:line="360" w:lineRule="atLeast"/>
        <w:ind w:firstLine="480"/>
        <w:rPr>
          <w:rFonts w:ascii="Arial" w:hAnsi="Arial" w:cs="Arial"/>
          <w:color w:val="333333"/>
          <w:szCs w:val="21"/>
        </w:rPr>
      </w:pPr>
      <w:r>
        <w:rPr>
          <w:rFonts w:ascii="Arial" w:hAnsi="Arial" w:cs="Arial"/>
          <w:color w:val="333333"/>
          <w:szCs w:val="21"/>
        </w:rPr>
        <w:t>第三十五条 本办法自2017年6月1日起施行。《财政部 农业部关于印发〈农业机械购置补贴专项资金使用管理暂行办法〉的通知》（财农〔2005〕11号）、《财政部 农业部关于印发〈农村劳动力转移培训财政补助资金管理办法〉的通知》（财农〔2005〕18号）、《财政部关于印发〈能繁母猪补贴资金管理暂行办法〉的通知》（财农〔2007〕160号）、《财政部 农业部关于印发〈奶牛良种补贴资金管理暂行办法〉的通知》（财农〔2007〕164号）、《财政部 农业部关于印发〈生猪良种补贴资金管理暂行办法〉的通知》（财农〔2007〕186号）、《财政部关于印发〈中央财政财政支农政策培训补助资金管理暂行办法〉的通知》（财办〔2012〕31号）、《财政部关于印发〈中央财政现代农业生产发展资金管理办法〉的通知》（财农〔2013〕1号）、《财政部关于印发〈中央财政农民专业合作组织发展资金管理办法〉的通知》（财农〔2013〕156号）、《财政部科技部 农业部关于印发〈中央财政农业科技成果转化与技术推广服务补助资金管理办法〉的通知》（财农〔2014〕31号）、《财政部 农业部关于印发〈农业支持保护补贴资金管理办法〉的通知》（财农〔2016〕74号）、《财政部 农业部关于修订相关资金管理办法的通知》（财农〔2016〕238号）同时废止。</w:t>
      </w:r>
      <w:r>
        <w:rPr>
          <w:rFonts w:ascii="Arial" w:hAnsi="Arial" w:cs="Arial"/>
          <w:color w:val="3366CC"/>
          <w:sz w:val="16"/>
          <w:szCs w:val="16"/>
          <w:vertAlign w:val="superscript"/>
        </w:rPr>
        <w:t>[</w:t>
      </w:r>
    </w:p>
    <w:p w14:paraId="5F7E90A7">
      <w:pPr>
        <w:jc w:val="center"/>
        <w:rPr>
          <w:rFonts w:ascii="黑体" w:hAnsi="宋体" w:eastAsia="黑体"/>
          <w:bCs/>
          <w:sz w:val="32"/>
          <w:szCs w:val="32"/>
        </w:rPr>
      </w:pPr>
    </w:p>
    <w:p w14:paraId="4D793145">
      <w:pPr>
        <w:jc w:val="center"/>
        <w:rPr>
          <w:rFonts w:ascii="黑体" w:hAnsi="宋体" w:eastAsia="黑体"/>
          <w:bCs/>
          <w:sz w:val="32"/>
          <w:szCs w:val="32"/>
        </w:rPr>
      </w:pPr>
    </w:p>
    <w:p w14:paraId="0C9406D9">
      <w:pPr>
        <w:jc w:val="center"/>
        <w:rPr>
          <w:rFonts w:ascii="黑体" w:hAnsi="宋体" w:eastAsia="黑体"/>
          <w:bCs/>
          <w:sz w:val="32"/>
          <w:szCs w:val="32"/>
        </w:rPr>
      </w:pPr>
    </w:p>
    <w:p w14:paraId="11F8570A">
      <w:pPr>
        <w:jc w:val="center"/>
        <w:rPr>
          <w:rFonts w:ascii="黑体" w:hAnsi="宋体" w:eastAsia="黑体"/>
          <w:bCs/>
          <w:sz w:val="32"/>
          <w:szCs w:val="32"/>
        </w:rPr>
      </w:pPr>
    </w:p>
    <w:p w14:paraId="45C1138D">
      <w:pPr>
        <w:jc w:val="center"/>
        <w:rPr>
          <w:rFonts w:ascii="黑体" w:hAnsi="宋体" w:eastAsia="黑体"/>
          <w:bCs/>
          <w:sz w:val="32"/>
          <w:szCs w:val="32"/>
        </w:rPr>
      </w:pPr>
    </w:p>
    <w:p w14:paraId="4FF44029">
      <w:pPr>
        <w:jc w:val="center"/>
        <w:rPr>
          <w:rFonts w:ascii="黑体" w:hAnsi="宋体" w:eastAsia="黑体"/>
          <w:bCs/>
          <w:sz w:val="32"/>
          <w:szCs w:val="32"/>
        </w:rPr>
      </w:pPr>
    </w:p>
    <w:p w14:paraId="60FA0620">
      <w:pPr>
        <w:shd w:val="clear" w:color="auto" w:fill="FFFFFF"/>
        <w:spacing w:line="360" w:lineRule="atLeast"/>
        <w:jc w:val="center"/>
        <w:rPr>
          <w:rFonts w:ascii="黑体" w:hAnsi="黑体" w:eastAsia="黑体" w:cs="Arial"/>
          <w:color w:val="333333"/>
          <w:sz w:val="32"/>
          <w:szCs w:val="32"/>
        </w:rPr>
      </w:pPr>
      <w:r>
        <w:rPr>
          <w:rFonts w:ascii="黑体" w:hAnsi="黑体" w:eastAsia="黑体" w:cs="Arial"/>
          <w:color w:val="333333"/>
          <w:sz w:val="32"/>
          <w:szCs w:val="32"/>
        </w:rPr>
        <w:t>林业成品油价格补助专项资金管理暂行办法</w:t>
      </w:r>
    </w:p>
    <w:p w14:paraId="520CBF19">
      <w:pPr>
        <w:shd w:val="clear" w:color="auto" w:fill="FFFFFF"/>
        <w:spacing w:line="360" w:lineRule="atLeast"/>
        <w:ind w:firstLine="480"/>
        <w:jc w:val="center"/>
        <w:rPr>
          <w:rFonts w:ascii="Arial" w:hAnsi="Arial" w:cs="Arial"/>
          <w:color w:val="333333"/>
          <w:szCs w:val="21"/>
        </w:rPr>
      </w:pPr>
      <w:r>
        <w:rPr>
          <w:rFonts w:ascii="Arial" w:hAnsi="Arial" w:cs="Arial"/>
          <w:color w:val="333333"/>
          <w:szCs w:val="21"/>
        </w:rPr>
        <w:t>财建[2009]1007号</w:t>
      </w:r>
    </w:p>
    <w:p w14:paraId="70261805">
      <w:pPr>
        <w:shd w:val="clear" w:color="auto" w:fill="FFFFFF"/>
        <w:spacing w:line="360" w:lineRule="atLeast"/>
        <w:ind w:firstLine="480"/>
        <w:rPr>
          <w:rFonts w:ascii="Arial" w:hAnsi="Arial" w:cs="Arial"/>
          <w:color w:val="333333"/>
          <w:szCs w:val="21"/>
        </w:rPr>
      </w:pPr>
      <w:bookmarkStart w:id="7" w:name="sub3327529_2"/>
      <w:bookmarkEnd w:id="7"/>
      <w:bookmarkStart w:id="8" w:name="内容"/>
      <w:bookmarkEnd w:id="8"/>
    </w:p>
    <w:p w14:paraId="771AE56D">
      <w:pPr>
        <w:shd w:val="clear" w:color="auto" w:fill="FFFFFF"/>
        <w:spacing w:line="360" w:lineRule="atLeast"/>
        <w:ind w:firstLine="480"/>
        <w:rPr>
          <w:rFonts w:ascii="Arial" w:hAnsi="Arial" w:cs="Arial"/>
          <w:color w:val="333333"/>
          <w:szCs w:val="21"/>
        </w:rPr>
      </w:pPr>
      <w:r>
        <w:rPr>
          <w:rFonts w:ascii="Arial" w:hAnsi="Arial" w:cs="Arial"/>
          <w:color w:val="333333"/>
          <w:szCs w:val="21"/>
        </w:rPr>
        <w:t>第一条 为加强林业成品油价格专项补助资金管理，促进林业健康发展，保障国家成品油价格和税费改革顺利实施，根据财政部等七部门《关于成品油价格和税费改革后进一步完善种粮农民部分困难群体和公益性行业补贴机制的通知》（财建[2009]1号）规定，制定本办法。</w:t>
      </w:r>
    </w:p>
    <w:p w14:paraId="7F775A8D">
      <w:pPr>
        <w:shd w:val="clear" w:color="auto" w:fill="FFFFFF"/>
        <w:spacing w:line="360" w:lineRule="atLeast"/>
        <w:ind w:firstLine="480"/>
        <w:rPr>
          <w:rFonts w:ascii="Arial" w:hAnsi="Arial" w:cs="Arial"/>
          <w:color w:val="333333"/>
          <w:szCs w:val="21"/>
        </w:rPr>
      </w:pPr>
      <w:r>
        <w:rPr>
          <w:rFonts w:ascii="Arial" w:hAnsi="Arial" w:cs="Arial"/>
          <w:color w:val="333333"/>
          <w:szCs w:val="21"/>
        </w:rPr>
        <w:t>第二条 本办法适用于林业成品油价格补助专项资金（以下简称补助资金）的管理。</w:t>
      </w:r>
    </w:p>
    <w:p w14:paraId="0C172A52">
      <w:pPr>
        <w:shd w:val="clear" w:color="auto" w:fill="FFFFFF"/>
        <w:spacing w:line="360" w:lineRule="atLeast"/>
        <w:ind w:firstLine="480"/>
        <w:rPr>
          <w:rFonts w:ascii="Arial" w:hAnsi="Arial" w:cs="Arial"/>
          <w:color w:val="333333"/>
          <w:szCs w:val="21"/>
        </w:rPr>
      </w:pPr>
      <w:r>
        <w:rPr>
          <w:rFonts w:ascii="Arial" w:hAnsi="Arial" w:cs="Arial"/>
          <w:color w:val="333333"/>
          <w:szCs w:val="21"/>
        </w:rPr>
        <w:t>第三条 本办法所称的补助资金，是指中央财政预算安排的，用于补助国有林业企业、林场和苗圃，因成品油价格调整而增加的成品油消耗成本而所设立的专项资金。</w:t>
      </w:r>
    </w:p>
    <w:p w14:paraId="0D1BBA3D">
      <w:pPr>
        <w:shd w:val="clear" w:color="auto" w:fill="FFFFFF"/>
        <w:spacing w:line="360" w:lineRule="atLeast"/>
        <w:ind w:firstLine="480"/>
        <w:rPr>
          <w:rFonts w:ascii="Arial" w:hAnsi="Arial" w:cs="Arial"/>
          <w:color w:val="333333"/>
          <w:szCs w:val="21"/>
        </w:rPr>
      </w:pPr>
      <w:r>
        <w:rPr>
          <w:rFonts w:ascii="Arial" w:hAnsi="Arial" w:cs="Arial"/>
          <w:color w:val="333333"/>
          <w:szCs w:val="21"/>
        </w:rPr>
        <w:t>本办法所称的补助对象，即国有林业企业、林场和苗圃。</w:t>
      </w:r>
    </w:p>
    <w:p w14:paraId="29C73DEE">
      <w:pPr>
        <w:shd w:val="clear" w:color="auto" w:fill="FFFFFF"/>
        <w:spacing w:line="360" w:lineRule="atLeast"/>
        <w:ind w:firstLine="480"/>
        <w:rPr>
          <w:rFonts w:ascii="Arial" w:hAnsi="Arial" w:cs="Arial"/>
          <w:color w:val="333333"/>
          <w:szCs w:val="21"/>
        </w:rPr>
      </w:pPr>
      <w:r>
        <w:rPr>
          <w:rFonts w:ascii="Arial" w:hAnsi="Arial" w:cs="Arial"/>
          <w:color w:val="333333"/>
          <w:szCs w:val="21"/>
        </w:rPr>
        <w:t>第四条 当国家确定的成品油分品种出厂价，高于2006年成品油价格改革时的分品种出厂价（汽油4400元/吨、柴油3870元/吨）时，启动补贴机制；低于上述价格时，停止补贴。</w:t>
      </w:r>
    </w:p>
    <w:p w14:paraId="4FE18AC6">
      <w:pPr>
        <w:shd w:val="clear" w:color="auto" w:fill="FFFFFF"/>
        <w:spacing w:line="360" w:lineRule="atLeast"/>
        <w:ind w:firstLine="480"/>
        <w:rPr>
          <w:rFonts w:ascii="Arial" w:hAnsi="Arial" w:cs="Arial"/>
          <w:color w:val="333333"/>
          <w:szCs w:val="21"/>
        </w:rPr>
      </w:pPr>
      <w:r>
        <w:rPr>
          <w:rFonts w:ascii="Arial" w:hAnsi="Arial" w:cs="Arial"/>
          <w:color w:val="333333"/>
          <w:szCs w:val="21"/>
        </w:rPr>
        <w:t>第五条 补助资金补助标准的确定和中央财政负担的补助比例按财政部等七部门《关于成品油价格和税费改革后进一步完善种粮农民部分困难群体和公益性行业补贴机制的通知》（财建[2009]1号）的规定执行。</w:t>
      </w:r>
    </w:p>
    <w:p w14:paraId="5D7407FE">
      <w:pPr>
        <w:shd w:val="clear" w:color="auto" w:fill="FFFFFF"/>
        <w:spacing w:line="360" w:lineRule="atLeast"/>
        <w:ind w:firstLine="480"/>
        <w:rPr>
          <w:rFonts w:ascii="Arial" w:hAnsi="Arial" w:cs="Arial"/>
          <w:color w:val="333333"/>
          <w:szCs w:val="21"/>
        </w:rPr>
      </w:pPr>
      <w:r>
        <w:rPr>
          <w:rFonts w:ascii="Arial" w:hAnsi="Arial" w:cs="Arial"/>
          <w:color w:val="333333"/>
          <w:szCs w:val="21"/>
        </w:rPr>
        <w:t>第六条 补助用油量由林业主管部门按照林业实际工作量和生产定额计算核定在一个补贴年度内合法营运消耗的成品油数量。</w:t>
      </w:r>
    </w:p>
    <w:p w14:paraId="338EBA1C">
      <w:pPr>
        <w:shd w:val="clear" w:color="auto" w:fill="FFFFFF"/>
        <w:spacing w:line="360" w:lineRule="atLeast"/>
        <w:ind w:firstLine="480"/>
        <w:rPr>
          <w:rFonts w:ascii="Arial" w:hAnsi="Arial" w:cs="Arial"/>
          <w:color w:val="333333"/>
          <w:szCs w:val="21"/>
        </w:rPr>
      </w:pPr>
      <w:r>
        <w:rPr>
          <w:rFonts w:ascii="Arial" w:hAnsi="Arial" w:cs="Arial"/>
          <w:color w:val="333333"/>
          <w:szCs w:val="21"/>
        </w:rPr>
        <w:t>第七条 各级林业主管部门应建立、健全本辖区林业生产用油量基础档案等相关管理制度。纳入补助范围的国有林业企业和林场苗圃应根据相关管理制度和按各项林业生产核定的用油量，完整、准确地填报各项基础数据，并编制报表。</w:t>
      </w:r>
    </w:p>
    <w:p w14:paraId="6140729F">
      <w:pPr>
        <w:shd w:val="clear" w:color="auto" w:fill="FFFFFF"/>
        <w:spacing w:line="360" w:lineRule="atLeast"/>
        <w:ind w:firstLine="480"/>
        <w:rPr>
          <w:rFonts w:ascii="Arial" w:hAnsi="Arial" w:cs="Arial"/>
          <w:color w:val="333333"/>
          <w:szCs w:val="21"/>
        </w:rPr>
      </w:pPr>
      <w:r>
        <w:rPr>
          <w:rFonts w:ascii="Arial" w:hAnsi="Arial" w:cs="Arial"/>
          <w:color w:val="333333"/>
          <w:szCs w:val="21"/>
        </w:rPr>
        <w:t>第八条 补助年度终了后，县级以上林业主管部门应当组织力量，对本辖区上年度林业分品种油料消耗情况进行统计、整理、汇总，经核实无误后，于2月15日前逐级上报省级林业主管部门，同时抄报同级财政、审计部门。</w:t>
      </w:r>
    </w:p>
    <w:p w14:paraId="10B0E033">
      <w:pPr>
        <w:shd w:val="clear" w:color="auto" w:fill="FFFFFF"/>
        <w:spacing w:line="360" w:lineRule="atLeast"/>
        <w:ind w:firstLine="480"/>
        <w:rPr>
          <w:rFonts w:ascii="Arial" w:hAnsi="Arial" w:cs="Arial"/>
          <w:color w:val="333333"/>
          <w:szCs w:val="21"/>
        </w:rPr>
      </w:pPr>
      <w:r>
        <w:rPr>
          <w:rFonts w:ascii="Arial" w:hAnsi="Arial" w:cs="Arial"/>
          <w:color w:val="333333"/>
          <w:szCs w:val="21"/>
        </w:rPr>
        <w:t>第九条 省级林业主管部门收到下级林业主管部门报送的用油量后，经审核和重点抽查，将本地区林业用油情况整理汇总，于3月15日前上报国家林业局，同时抄送同级财政、审计部门以及财政部驻当地财政监察专员办事处。</w:t>
      </w:r>
    </w:p>
    <w:p w14:paraId="688F5A6C">
      <w:pPr>
        <w:shd w:val="clear" w:color="auto" w:fill="FFFFFF"/>
        <w:spacing w:line="360" w:lineRule="atLeast"/>
        <w:ind w:firstLine="480"/>
        <w:rPr>
          <w:rFonts w:ascii="Arial" w:hAnsi="Arial" w:cs="Arial"/>
          <w:color w:val="333333"/>
          <w:szCs w:val="21"/>
        </w:rPr>
      </w:pPr>
      <w:r>
        <w:rPr>
          <w:rFonts w:ascii="Arial" w:hAnsi="Arial" w:cs="Arial"/>
          <w:color w:val="333333"/>
          <w:szCs w:val="21"/>
        </w:rPr>
        <w:t>第十条 国家林业局收到省级林业主管部门报来的上年度油料消耗情况后，应当根据前一年度补贴用油量情况对全国上年度林业油料消耗情况进行整理、汇总和分析。补助用油量原则上不得超过上年度用油量。国家林业局核定的补助用油量于4月10日前报送财政部，同时抄送审计署。</w:t>
      </w:r>
    </w:p>
    <w:p w14:paraId="2C5565AC">
      <w:pPr>
        <w:shd w:val="clear" w:color="auto" w:fill="FFFFFF"/>
        <w:spacing w:line="360" w:lineRule="atLeast"/>
        <w:ind w:firstLine="480"/>
        <w:rPr>
          <w:rFonts w:ascii="Arial" w:hAnsi="Arial" w:cs="Arial"/>
          <w:color w:val="333333"/>
          <w:szCs w:val="21"/>
        </w:rPr>
      </w:pPr>
      <w:r>
        <w:rPr>
          <w:rFonts w:ascii="Arial" w:hAnsi="Arial" w:cs="Arial"/>
          <w:color w:val="333333"/>
          <w:szCs w:val="21"/>
        </w:rPr>
        <w:t>第十一条 财政部根据国家林业局报送的全国林业上年度油料消耗情况，按照补助标准和负担比例，计算分省（区、市）上年度成品油价格补助金额。</w:t>
      </w:r>
    </w:p>
    <w:p w14:paraId="4C706FD7">
      <w:pPr>
        <w:shd w:val="clear" w:color="auto" w:fill="FFFFFF"/>
        <w:spacing w:line="360" w:lineRule="atLeast"/>
        <w:ind w:firstLine="480"/>
        <w:rPr>
          <w:rFonts w:ascii="Arial" w:hAnsi="Arial" w:cs="Arial"/>
          <w:color w:val="333333"/>
          <w:szCs w:val="21"/>
        </w:rPr>
      </w:pPr>
      <w:r>
        <w:rPr>
          <w:rFonts w:ascii="Arial" w:hAnsi="Arial" w:cs="Arial"/>
          <w:color w:val="333333"/>
          <w:szCs w:val="21"/>
        </w:rPr>
        <w:t>第十二条 中央财政负担的上年度补助资金，由财政部于4月30日前，通过专项转移支付的方式下达省级财政部门。中央本级的补助资金，由财政部直接拨付给中央单位。下达资金的文件同时抄送国家林业局、审计署、财政部驻各省（区、市）财政监察专员办事处。</w:t>
      </w:r>
    </w:p>
    <w:p w14:paraId="62795FAF">
      <w:pPr>
        <w:shd w:val="clear" w:color="auto" w:fill="FFFFFF"/>
        <w:spacing w:line="360" w:lineRule="atLeast"/>
        <w:ind w:firstLine="480"/>
        <w:rPr>
          <w:rFonts w:ascii="Arial" w:hAnsi="Arial" w:cs="Arial"/>
          <w:color w:val="333333"/>
          <w:szCs w:val="21"/>
        </w:rPr>
      </w:pPr>
      <w:r>
        <w:rPr>
          <w:rFonts w:ascii="Arial" w:hAnsi="Arial" w:cs="Arial"/>
          <w:color w:val="333333"/>
          <w:szCs w:val="21"/>
        </w:rPr>
        <w:t>第十三条 省级财政部门收到财政部下达的上年度补助资金后，应当会同同级林业主管部门逐级下拨资金。中央单位、基层林业和财政部门应当在6月30日前将补助资金发放到补助对象。</w:t>
      </w:r>
    </w:p>
    <w:p w14:paraId="68716989">
      <w:pPr>
        <w:shd w:val="clear" w:color="auto" w:fill="FFFFFF"/>
        <w:spacing w:line="360" w:lineRule="atLeast"/>
        <w:ind w:firstLine="480"/>
        <w:rPr>
          <w:rFonts w:ascii="Arial" w:hAnsi="Arial" w:cs="Arial"/>
          <w:color w:val="333333"/>
          <w:szCs w:val="21"/>
        </w:rPr>
      </w:pPr>
      <w:r>
        <w:rPr>
          <w:rFonts w:ascii="Arial" w:hAnsi="Arial" w:cs="Arial"/>
          <w:color w:val="333333"/>
          <w:szCs w:val="21"/>
        </w:rPr>
        <w:t>中央单位、基层财政和林业部门应当完善补助资金的发放管理制度，并将补助程序、补助对象、补助标准和金额等内容及时向社会公布。</w:t>
      </w:r>
    </w:p>
    <w:p w14:paraId="24A0AE4A">
      <w:pPr>
        <w:shd w:val="clear" w:color="auto" w:fill="FFFFFF"/>
        <w:spacing w:line="360" w:lineRule="atLeast"/>
        <w:ind w:firstLine="480"/>
        <w:rPr>
          <w:rFonts w:ascii="Arial" w:hAnsi="Arial" w:cs="Arial"/>
          <w:color w:val="333333"/>
          <w:szCs w:val="21"/>
        </w:rPr>
      </w:pPr>
      <w:r>
        <w:rPr>
          <w:rFonts w:ascii="Arial" w:hAnsi="Arial" w:cs="Arial"/>
          <w:color w:val="333333"/>
          <w:szCs w:val="21"/>
        </w:rPr>
        <w:t>第十四条 省级财政部门会同同级林业主管部门于9月15日前，将补助资金发放情况以书面形式报财政部和国家林业局，并抄送审计署。</w:t>
      </w:r>
    </w:p>
    <w:p w14:paraId="72D64730">
      <w:pPr>
        <w:shd w:val="clear" w:color="auto" w:fill="FFFFFF"/>
        <w:spacing w:line="360" w:lineRule="atLeast"/>
        <w:ind w:firstLine="480"/>
        <w:rPr>
          <w:rFonts w:ascii="Arial" w:hAnsi="Arial" w:cs="Arial"/>
          <w:color w:val="333333"/>
          <w:szCs w:val="21"/>
        </w:rPr>
      </w:pPr>
      <w:r>
        <w:rPr>
          <w:rFonts w:ascii="Arial" w:hAnsi="Arial" w:cs="Arial"/>
          <w:color w:val="333333"/>
          <w:szCs w:val="21"/>
        </w:rPr>
        <w:t>第十五条 补助资金应当专款专用，全额用于补助实际用油者，不得挪作他用。</w:t>
      </w:r>
    </w:p>
    <w:p w14:paraId="0B8AC885">
      <w:pPr>
        <w:shd w:val="clear" w:color="auto" w:fill="FFFFFF"/>
        <w:spacing w:line="360" w:lineRule="atLeast"/>
        <w:ind w:firstLine="480"/>
        <w:rPr>
          <w:rFonts w:ascii="Arial" w:hAnsi="Arial" w:cs="Arial"/>
          <w:color w:val="333333"/>
          <w:szCs w:val="21"/>
        </w:rPr>
      </w:pPr>
      <w:r>
        <w:rPr>
          <w:rFonts w:ascii="Arial" w:hAnsi="Arial" w:cs="Arial"/>
          <w:color w:val="333333"/>
          <w:szCs w:val="21"/>
        </w:rPr>
        <w:t>第十六条 财政部将会同林业、审计部门，对各级林业主管部门用油量申报的真实性和可靠性、各级财政部门资金拨付的及时性和额度等情况，进行定期和不定期的监督、检查，或组织财政部驻各省（区、市）财政监察专员办事处联合有关部门进行抽查或全面检查。如发现违纪违法行为，及时移送监察机关处理。</w:t>
      </w:r>
    </w:p>
    <w:p w14:paraId="4C392D2D">
      <w:pPr>
        <w:shd w:val="clear" w:color="auto" w:fill="FFFFFF"/>
        <w:spacing w:line="360" w:lineRule="atLeast"/>
        <w:ind w:firstLine="480"/>
        <w:rPr>
          <w:rFonts w:ascii="Arial" w:hAnsi="Arial" w:cs="Arial"/>
          <w:color w:val="333333"/>
          <w:szCs w:val="21"/>
        </w:rPr>
      </w:pPr>
      <w:r>
        <w:rPr>
          <w:rFonts w:ascii="Arial" w:hAnsi="Arial" w:cs="Arial"/>
          <w:color w:val="333333"/>
          <w:szCs w:val="21"/>
        </w:rPr>
        <w:t>第十七条 国有林业企业和林场苗圃应当按照本办法规定，及时准确填报有关报表。对未报送或未按期报送有关报表的，不予补助。</w:t>
      </w:r>
    </w:p>
    <w:p w14:paraId="42CC7707">
      <w:pPr>
        <w:shd w:val="clear" w:color="auto" w:fill="FFFFFF"/>
        <w:spacing w:line="360" w:lineRule="atLeast"/>
        <w:ind w:firstLine="480"/>
        <w:rPr>
          <w:rFonts w:ascii="Arial" w:hAnsi="Arial" w:cs="Arial"/>
          <w:color w:val="333333"/>
          <w:szCs w:val="21"/>
        </w:rPr>
      </w:pPr>
      <w:r>
        <w:rPr>
          <w:rFonts w:ascii="Arial" w:hAnsi="Arial" w:cs="Arial"/>
          <w:color w:val="333333"/>
          <w:szCs w:val="21"/>
        </w:rPr>
        <w:t>对弄虚作假，套取补助资金的国有林业企业和林场苗圃，一经查实，追回上年度补助资金，并取消下年度补助资格。</w:t>
      </w:r>
    </w:p>
    <w:p w14:paraId="7F4D557A">
      <w:pPr>
        <w:shd w:val="clear" w:color="auto" w:fill="FFFFFF"/>
        <w:spacing w:line="360" w:lineRule="atLeast"/>
        <w:ind w:firstLine="480"/>
        <w:rPr>
          <w:rFonts w:ascii="Arial" w:hAnsi="Arial" w:cs="Arial"/>
          <w:color w:val="333333"/>
          <w:szCs w:val="21"/>
        </w:rPr>
      </w:pPr>
      <w:r>
        <w:rPr>
          <w:rFonts w:ascii="Arial" w:hAnsi="Arial" w:cs="Arial"/>
          <w:color w:val="333333"/>
          <w:szCs w:val="21"/>
        </w:rPr>
        <w:t>对虚报用油量套取补助资金、扩大补助范围发放补助资金、截留挪用补助资金的部门和管理人员，一经查实，将严格按照法规规定进行处理，并追究相关责任人的责任。</w:t>
      </w:r>
    </w:p>
    <w:p w14:paraId="15E8AD42">
      <w:pPr>
        <w:shd w:val="clear" w:color="auto" w:fill="FFFFFF"/>
        <w:spacing w:line="360" w:lineRule="atLeast"/>
        <w:ind w:firstLine="480"/>
        <w:rPr>
          <w:rFonts w:ascii="Arial" w:hAnsi="Arial" w:cs="Arial"/>
          <w:color w:val="333333"/>
          <w:szCs w:val="21"/>
        </w:rPr>
      </w:pPr>
      <w:r>
        <w:rPr>
          <w:rFonts w:ascii="Arial" w:hAnsi="Arial" w:cs="Arial"/>
          <w:color w:val="333333"/>
          <w:szCs w:val="21"/>
        </w:rPr>
        <w:t>第十八条 补助资金工作经费由省级财政按照财政管理规定，商同级林业主管部门重点用于基层管理部门用油量统计和补助资金发放等管理工作。</w:t>
      </w:r>
    </w:p>
    <w:p w14:paraId="482C68D9">
      <w:pPr>
        <w:shd w:val="clear" w:color="auto" w:fill="FFFFFF"/>
        <w:spacing w:line="360" w:lineRule="atLeast"/>
        <w:ind w:firstLine="480"/>
        <w:rPr>
          <w:rFonts w:ascii="Arial" w:hAnsi="Arial" w:cs="Arial"/>
          <w:color w:val="333333"/>
          <w:szCs w:val="21"/>
        </w:rPr>
      </w:pPr>
      <w:r>
        <w:rPr>
          <w:rFonts w:ascii="Arial" w:hAnsi="Arial" w:cs="Arial"/>
          <w:color w:val="333333"/>
          <w:szCs w:val="21"/>
        </w:rPr>
        <w:t>第十九条 各省（区、市）财政部门应当会同同级林业等部门制定实施细则。</w:t>
      </w:r>
    </w:p>
    <w:p w14:paraId="6CBEA788">
      <w:pPr>
        <w:shd w:val="clear" w:color="auto" w:fill="FFFFFF"/>
        <w:spacing w:line="360" w:lineRule="atLeast"/>
        <w:ind w:firstLine="480"/>
        <w:rPr>
          <w:rFonts w:ascii="Arial" w:hAnsi="Arial" w:cs="Arial"/>
          <w:color w:val="333333"/>
          <w:szCs w:val="21"/>
        </w:rPr>
      </w:pPr>
      <w:r>
        <w:rPr>
          <w:rFonts w:ascii="Arial" w:hAnsi="Arial" w:cs="Arial"/>
          <w:color w:val="333333"/>
          <w:szCs w:val="21"/>
        </w:rPr>
        <w:t>第二十条 本办法由财政部、国家林业局负责解释。</w:t>
      </w:r>
    </w:p>
    <w:p w14:paraId="64182AF4">
      <w:pPr>
        <w:shd w:val="clear" w:color="auto" w:fill="FFFFFF"/>
        <w:spacing w:line="360" w:lineRule="atLeast"/>
        <w:ind w:firstLine="480"/>
        <w:rPr>
          <w:rFonts w:ascii="Arial" w:hAnsi="Arial" w:cs="Arial"/>
          <w:color w:val="333333"/>
          <w:szCs w:val="21"/>
        </w:rPr>
      </w:pPr>
      <w:r>
        <w:rPr>
          <w:rFonts w:ascii="Arial" w:hAnsi="Arial" w:cs="Arial"/>
          <w:color w:val="333333"/>
          <w:szCs w:val="21"/>
        </w:rPr>
        <w:t>第二十一条 本办法自2010年1月1日起施行。</w:t>
      </w:r>
    </w:p>
    <w:p w14:paraId="6522F929">
      <w:pPr>
        <w:jc w:val="center"/>
        <w:rPr>
          <w:rFonts w:ascii="黑体" w:hAnsi="宋体" w:eastAsia="黑体"/>
          <w:bCs/>
          <w:sz w:val="32"/>
          <w:szCs w:val="32"/>
        </w:rPr>
      </w:pPr>
    </w:p>
    <w:p w14:paraId="3436510F">
      <w:pPr>
        <w:jc w:val="center"/>
        <w:rPr>
          <w:rFonts w:ascii="黑体" w:hAnsi="宋体" w:eastAsia="黑体"/>
          <w:bCs/>
          <w:sz w:val="32"/>
          <w:szCs w:val="32"/>
        </w:rPr>
      </w:pPr>
    </w:p>
    <w:p w14:paraId="0399D829">
      <w:pPr>
        <w:jc w:val="center"/>
        <w:rPr>
          <w:rFonts w:ascii="黑体" w:hAnsi="宋体" w:eastAsia="黑体"/>
          <w:bCs/>
          <w:sz w:val="32"/>
          <w:szCs w:val="32"/>
        </w:rPr>
      </w:pPr>
    </w:p>
    <w:p w14:paraId="460D53E7">
      <w:pPr>
        <w:shd w:val="clear" w:color="auto" w:fill="FFFFFF"/>
        <w:spacing w:line="360" w:lineRule="atLeast"/>
        <w:ind w:firstLine="480"/>
        <w:rPr>
          <w:rFonts w:ascii="Arial" w:hAnsi="Arial" w:cs="Arial"/>
          <w:szCs w:val="21"/>
        </w:rPr>
      </w:pPr>
    </w:p>
    <w:p w14:paraId="1A6E6468">
      <w:pPr>
        <w:shd w:val="clear" w:color="auto" w:fill="FFFFFF"/>
        <w:spacing w:line="360" w:lineRule="atLeast"/>
        <w:ind w:firstLine="480"/>
        <w:rPr>
          <w:rFonts w:ascii="Arial" w:hAnsi="Arial" w:cs="Arial"/>
          <w:szCs w:val="21"/>
        </w:rPr>
      </w:pPr>
    </w:p>
    <w:p w14:paraId="74A5A628">
      <w:pPr>
        <w:shd w:val="clear" w:color="auto" w:fill="FFFFFF"/>
        <w:spacing w:line="360" w:lineRule="atLeast"/>
        <w:ind w:firstLine="480"/>
        <w:rPr>
          <w:rFonts w:ascii="Arial" w:hAnsi="Arial" w:cs="Arial"/>
          <w:szCs w:val="21"/>
        </w:rPr>
      </w:pPr>
    </w:p>
    <w:p w14:paraId="40225283">
      <w:pPr>
        <w:shd w:val="clear" w:color="auto" w:fill="FFFFFF"/>
        <w:spacing w:line="360" w:lineRule="atLeast"/>
        <w:ind w:firstLine="480"/>
        <w:rPr>
          <w:rFonts w:ascii="Arial" w:hAnsi="Arial" w:cs="Arial"/>
          <w:szCs w:val="21"/>
        </w:rPr>
      </w:pPr>
    </w:p>
    <w:p w14:paraId="5B656E30">
      <w:pPr>
        <w:shd w:val="clear" w:color="auto" w:fill="FFFFFF"/>
        <w:spacing w:line="360" w:lineRule="atLeast"/>
        <w:ind w:firstLine="480"/>
        <w:rPr>
          <w:rFonts w:ascii="Arial" w:hAnsi="Arial" w:cs="Arial"/>
          <w:szCs w:val="21"/>
        </w:rPr>
      </w:pPr>
    </w:p>
    <w:p w14:paraId="1D20AE52">
      <w:pPr>
        <w:shd w:val="clear" w:color="auto" w:fill="FFFFFF"/>
        <w:spacing w:line="360" w:lineRule="atLeast"/>
        <w:ind w:firstLine="480"/>
        <w:rPr>
          <w:rFonts w:ascii="Arial" w:hAnsi="Arial" w:cs="Arial"/>
          <w:szCs w:val="21"/>
        </w:rPr>
      </w:pPr>
    </w:p>
    <w:p w14:paraId="6E934CD3">
      <w:pPr>
        <w:shd w:val="clear" w:color="auto" w:fill="FFFFFF"/>
        <w:spacing w:line="360" w:lineRule="atLeast"/>
        <w:ind w:firstLine="480"/>
        <w:rPr>
          <w:rFonts w:ascii="Arial" w:hAnsi="Arial" w:cs="Arial"/>
          <w:szCs w:val="21"/>
        </w:rPr>
      </w:pPr>
    </w:p>
    <w:p w14:paraId="3DE11055">
      <w:pPr>
        <w:shd w:val="clear" w:color="auto" w:fill="FFFFFF"/>
        <w:spacing w:line="360" w:lineRule="atLeast"/>
        <w:ind w:firstLine="480"/>
        <w:rPr>
          <w:rFonts w:ascii="Arial" w:hAnsi="Arial" w:cs="Arial"/>
          <w:szCs w:val="21"/>
        </w:rPr>
      </w:pPr>
    </w:p>
    <w:p w14:paraId="5AB35361">
      <w:pPr>
        <w:shd w:val="clear" w:color="auto" w:fill="FFFFFF"/>
        <w:spacing w:line="360" w:lineRule="atLeast"/>
        <w:ind w:firstLine="480"/>
        <w:rPr>
          <w:rFonts w:ascii="Arial" w:hAnsi="Arial" w:cs="Arial"/>
          <w:szCs w:val="21"/>
        </w:rPr>
      </w:pPr>
    </w:p>
    <w:p w14:paraId="617BFF38">
      <w:pPr>
        <w:shd w:val="clear" w:color="auto" w:fill="FFFFFF"/>
        <w:spacing w:line="360" w:lineRule="atLeast"/>
        <w:ind w:firstLine="480"/>
        <w:rPr>
          <w:rFonts w:ascii="Arial" w:hAnsi="Arial" w:cs="Arial"/>
          <w:szCs w:val="21"/>
        </w:rPr>
      </w:pPr>
    </w:p>
    <w:p w14:paraId="7DE4ECAC">
      <w:pPr>
        <w:shd w:val="clear" w:color="auto" w:fill="FFFFFF"/>
        <w:spacing w:line="360" w:lineRule="atLeast"/>
        <w:ind w:firstLine="480"/>
        <w:rPr>
          <w:rFonts w:ascii="Arial" w:hAnsi="Arial" w:cs="Arial"/>
          <w:szCs w:val="21"/>
        </w:rPr>
      </w:pPr>
    </w:p>
    <w:p w14:paraId="284F86D5">
      <w:pPr>
        <w:shd w:val="clear" w:color="auto" w:fill="FFFFFF"/>
        <w:spacing w:line="360" w:lineRule="atLeast"/>
        <w:ind w:firstLine="480"/>
        <w:rPr>
          <w:rFonts w:ascii="Arial" w:hAnsi="Arial" w:cs="Arial"/>
          <w:szCs w:val="21"/>
        </w:rPr>
      </w:pPr>
    </w:p>
    <w:p w14:paraId="5C3E8656">
      <w:pPr>
        <w:shd w:val="clear" w:color="auto" w:fill="FFFFFF"/>
        <w:spacing w:line="360" w:lineRule="atLeast"/>
        <w:ind w:firstLine="480"/>
        <w:rPr>
          <w:rFonts w:ascii="Arial" w:hAnsi="Arial" w:cs="Arial"/>
          <w:szCs w:val="21"/>
        </w:rPr>
      </w:pPr>
    </w:p>
    <w:p w14:paraId="232CA2D0">
      <w:pPr>
        <w:shd w:val="clear" w:color="auto" w:fill="FFFFFF"/>
        <w:spacing w:line="360" w:lineRule="atLeast"/>
        <w:ind w:firstLine="480"/>
        <w:rPr>
          <w:rFonts w:ascii="Arial" w:hAnsi="Arial" w:cs="Arial"/>
          <w:szCs w:val="21"/>
        </w:rPr>
      </w:pPr>
    </w:p>
    <w:p w14:paraId="243528CC">
      <w:pPr>
        <w:shd w:val="clear" w:color="auto" w:fill="FFFFFF"/>
        <w:spacing w:line="360" w:lineRule="atLeast"/>
        <w:ind w:firstLine="480"/>
        <w:rPr>
          <w:rFonts w:ascii="Arial" w:hAnsi="Arial" w:cs="Arial"/>
          <w:szCs w:val="21"/>
        </w:rPr>
      </w:pPr>
    </w:p>
    <w:p w14:paraId="7E78A3A8">
      <w:pPr>
        <w:shd w:val="clear" w:color="auto" w:fill="FFFFFF"/>
        <w:rPr>
          <w:rFonts w:asciiTheme="minorEastAsia" w:hAnsiTheme="minorEastAsia" w:eastAsiaTheme="minorEastAsia"/>
          <w:szCs w:val="21"/>
        </w:rPr>
      </w:pPr>
    </w:p>
    <w:p w14:paraId="22737177">
      <w:pPr>
        <w:pBdr>
          <w:bottom w:val="single" w:color="D5D5A2" w:sz="6" w:space="0"/>
        </w:pBdr>
        <w:shd w:val="clear" w:color="auto" w:fill="FFFFFF"/>
        <w:spacing w:line="450" w:lineRule="atLeast"/>
        <w:jc w:val="center"/>
        <w:outlineLvl w:val="1"/>
        <w:rPr>
          <w:rFonts w:ascii="黑体" w:hAnsi="黑体" w:eastAsia="黑体" w:cs="Arial"/>
          <w:bCs/>
          <w:color w:val="333333"/>
          <w:kern w:val="36"/>
          <w:sz w:val="32"/>
          <w:szCs w:val="32"/>
        </w:rPr>
      </w:pPr>
      <w:r>
        <w:rPr>
          <w:rFonts w:ascii="黑体" w:hAnsi="黑体" w:eastAsia="黑体" w:cs="Arial"/>
          <w:bCs/>
          <w:color w:val="333333"/>
          <w:kern w:val="36"/>
          <w:sz w:val="32"/>
          <w:szCs w:val="32"/>
        </w:rPr>
        <w:t>关于加快农机购置补贴政策实施促进农业供给侧结构性改革的通知</w:t>
      </w:r>
    </w:p>
    <w:p w14:paraId="24DC91F4">
      <w:pPr>
        <w:shd w:val="clear" w:color="auto" w:fill="FFFFFF"/>
        <w:rPr>
          <w:rFonts w:asciiTheme="minorEastAsia" w:hAnsiTheme="minorEastAsia" w:eastAsiaTheme="minorEastAsia"/>
          <w:szCs w:val="21"/>
        </w:rPr>
      </w:pPr>
    </w:p>
    <w:p w14:paraId="493FA523">
      <w:pPr>
        <w:shd w:val="clear" w:color="auto" w:fill="FFFFFF"/>
        <w:rPr>
          <w:rFonts w:asciiTheme="minorEastAsia" w:hAnsiTheme="minorEastAsia" w:eastAsiaTheme="minorEastAsia"/>
          <w:szCs w:val="21"/>
        </w:rPr>
      </w:pPr>
      <w:r>
        <w:rPr>
          <w:rFonts w:hint="eastAsia" w:asciiTheme="minorEastAsia" w:hAnsiTheme="minorEastAsia" w:eastAsiaTheme="minorEastAsia"/>
          <w:szCs w:val="21"/>
        </w:rPr>
        <w:t>各省、自治区、直辖市及计划单列市农机（农业、农牧）局（厅、委、办），新疆生产建设兵团农业局，黑龙江省农垦总局，广东省农垦总局：</w:t>
      </w:r>
    </w:p>
    <w:p w14:paraId="214A7F40">
      <w:pPr>
        <w:shd w:val="clear" w:color="auto" w:fill="FFFFFF"/>
        <w:jc w:val="left"/>
        <w:rPr>
          <w:rFonts w:cs="Arial" w:asciiTheme="minorEastAsia" w:hAnsiTheme="minorEastAsia" w:eastAsiaTheme="minorEastAsia"/>
          <w:szCs w:val="21"/>
        </w:rPr>
      </w:pPr>
      <w:r>
        <w:rPr>
          <w:rFonts w:hint="eastAsia" w:cs="Arial" w:asciiTheme="minorEastAsia" w:hAnsiTheme="minorEastAsia" w:eastAsiaTheme="minorEastAsia"/>
          <w:szCs w:val="21"/>
        </w:rPr>
        <w:t>　　为贯彻落实《农业部 财政部关于做好2017年中央财政农业生产发展等项目实施工作的通知》（农财发〔2017〕11号）精神和要求，进一步加快农机购置补贴政策实施进度，促进农业供给侧结构性改革，现将有关工作通知如下。</w:t>
      </w:r>
      <w:r>
        <w:rPr>
          <w:rFonts w:cs="Arial" w:asciiTheme="minorEastAsia" w:hAnsiTheme="minorEastAsia" w:eastAsiaTheme="minorEastAsia"/>
          <w:szCs w:val="21"/>
        </w:rPr>
        <w:t xml:space="preserve"> </w:t>
      </w:r>
    </w:p>
    <w:p w14:paraId="152635EB">
      <w:pPr>
        <w:shd w:val="clear" w:color="auto" w:fill="FFFFFF"/>
        <w:ind w:firstLine="640"/>
        <w:rPr>
          <w:rFonts w:asciiTheme="minorEastAsia" w:hAnsiTheme="minorEastAsia" w:eastAsiaTheme="minorEastAsia"/>
          <w:szCs w:val="21"/>
        </w:rPr>
      </w:pPr>
      <w:r>
        <w:rPr>
          <w:rFonts w:hint="eastAsia" w:asciiTheme="minorEastAsia" w:hAnsiTheme="minorEastAsia" w:eastAsiaTheme="minorEastAsia"/>
          <w:szCs w:val="21"/>
        </w:rPr>
        <w:t>一、大力推行敞开补贴</w:t>
      </w:r>
    </w:p>
    <w:p w14:paraId="330F8F58">
      <w:pPr>
        <w:shd w:val="clear" w:color="auto" w:fill="FFFFFF"/>
        <w:ind w:firstLine="640"/>
        <w:rPr>
          <w:rFonts w:asciiTheme="minorEastAsia" w:hAnsiTheme="minorEastAsia" w:eastAsiaTheme="minorEastAsia"/>
          <w:szCs w:val="21"/>
        </w:rPr>
      </w:pPr>
      <w:r>
        <w:rPr>
          <w:rFonts w:hint="eastAsia" w:asciiTheme="minorEastAsia" w:hAnsiTheme="minorEastAsia" w:eastAsiaTheme="minorEastAsia"/>
          <w:szCs w:val="21"/>
        </w:rPr>
        <w:t>适应农业结构调整和农业绿色发展的需要，进一步</w:t>
      </w:r>
      <w:r>
        <w:rPr>
          <w:rFonts w:hint="eastAsia" w:asciiTheme="minorEastAsia" w:hAnsiTheme="minorEastAsia" w:eastAsiaTheme="minorEastAsia"/>
          <w:color w:val="000000"/>
          <w:szCs w:val="21"/>
        </w:rPr>
        <w:t>完善</w:t>
      </w:r>
      <w:r>
        <w:rPr>
          <w:rFonts w:hint="eastAsia" w:asciiTheme="minorEastAsia" w:hAnsiTheme="minorEastAsia" w:eastAsiaTheme="minorEastAsia"/>
          <w:szCs w:val="21"/>
        </w:rPr>
        <w:t>与敞开补贴相匹配的补贴范围和补贴标准确定机制，大力推行敞开补贴，为农业供给侧结构性改革提供物质技术装备支撑。</w:t>
      </w:r>
      <w:r>
        <w:rPr>
          <w:rFonts w:hint="eastAsia" w:asciiTheme="minorEastAsia" w:hAnsiTheme="minorEastAsia" w:eastAsiaTheme="minorEastAsia"/>
          <w:color w:val="000000"/>
          <w:szCs w:val="21"/>
        </w:rPr>
        <w:t>对支持农业绿色发展的粮食烘干仓储、深松整地、免耕播种、高效植保、节水灌溉、高效施肥、秸秆还田离田、残膜回收、畜禽粪污资源化利用、病死畜禽无害化处理等机具实行敞开补贴</w:t>
      </w:r>
      <w:r>
        <w:rPr>
          <w:rFonts w:hint="eastAsia" w:asciiTheme="minorEastAsia" w:hAnsiTheme="minorEastAsia" w:eastAsiaTheme="minorEastAsia"/>
          <w:szCs w:val="21"/>
        </w:rPr>
        <w:t>。资金充裕和供需相对平衡的省份要力争做到补贴范围内全部机具品目敞开补贴、应补尽补。因资金缺口暂不具备敞开补贴条件的省份，也要结合实际增加敞开补贴的重点机具品目。</w:t>
      </w:r>
    </w:p>
    <w:p w14:paraId="1DEC9AD0">
      <w:pPr>
        <w:shd w:val="clear" w:color="auto" w:fill="FFFFFF"/>
        <w:ind w:firstLine="640"/>
        <w:rPr>
          <w:rFonts w:asciiTheme="minorEastAsia" w:hAnsiTheme="minorEastAsia" w:eastAsiaTheme="minorEastAsia"/>
          <w:szCs w:val="21"/>
        </w:rPr>
      </w:pPr>
      <w:r>
        <w:rPr>
          <w:rFonts w:hint="eastAsia" w:asciiTheme="minorEastAsia" w:hAnsiTheme="minorEastAsia" w:eastAsiaTheme="minorEastAsia"/>
          <w:szCs w:val="21"/>
        </w:rPr>
        <w:t>二、优化机具分类分档</w:t>
      </w:r>
    </w:p>
    <w:p w14:paraId="1DEBFD2D">
      <w:pPr>
        <w:shd w:val="clear" w:color="auto" w:fill="FFFFFF"/>
        <w:ind w:firstLine="640"/>
        <w:rPr>
          <w:rFonts w:asciiTheme="minorEastAsia" w:hAnsiTheme="minorEastAsia" w:eastAsiaTheme="minorEastAsia"/>
          <w:szCs w:val="21"/>
        </w:rPr>
      </w:pPr>
      <w:r>
        <w:rPr>
          <w:rFonts w:hint="eastAsia" w:asciiTheme="minorEastAsia" w:hAnsiTheme="minorEastAsia" w:eastAsiaTheme="minorEastAsia"/>
          <w:szCs w:val="21"/>
        </w:rPr>
        <w:t>紧紧围绕引导绿色、智能、高效、高端农机装备创新和推进农业供给侧结构性改革的需求，结合实际需要，在通用类补贴机具范围内选取不超过5个品目的重点机具，开展档次优化，着力解决多功能、复式、智能化和新型农机产品分档档次过于笼统、支持力度不够等问题。档次优化机具的补贴额按不超过上年平均销售价格的30%测算，可以高于《农业部办公厅关于对〈2015-2017年全国通用类农业机械中央财政资金最高补贴额一览表〉进行调整的通知》（农办机〔2015〕29号）规定的相应档次最高补贴额及上年补贴额，但增长幅度应控制在10%以内，且单机补贴额符合《农业部办公厅 财政部办公厅关于印发〈2015-2017年农业机械购置补贴实施指导意见〉的通知》（农办财〔2015〕6号）相关规定。西藏和新疆南疆五地州（含南疆垦区）仍按照《农业部办公厅财政部办公厅关于在西藏和新疆南疆地区开展差别化农机购置补贴试点的通知》（农办财〔2017〕19号）执行。要遵循科学审慎、集体决策、风险可控的原则，认真开展机具档次优化工作，统筹考虑机具的主体结构和主要功能，科学确定分档参数，与相关品目和已有档次做好衔接，防止重复交叉、逻辑不清，并做好补贴额省际间和年度间衔接，防止差距过大、价补倒挂。</w:t>
      </w:r>
    </w:p>
    <w:p w14:paraId="5EB58766">
      <w:pPr>
        <w:shd w:val="clear" w:color="auto" w:fill="FFFFFF"/>
        <w:ind w:firstLine="640"/>
        <w:rPr>
          <w:rFonts w:asciiTheme="minorEastAsia" w:hAnsiTheme="minorEastAsia" w:eastAsiaTheme="minorEastAsia"/>
          <w:szCs w:val="21"/>
        </w:rPr>
      </w:pPr>
      <w:r>
        <w:rPr>
          <w:rFonts w:hint="eastAsia" w:asciiTheme="minorEastAsia" w:hAnsiTheme="minorEastAsia" w:eastAsiaTheme="minorEastAsia"/>
          <w:szCs w:val="21"/>
        </w:rPr>
        <w:t>三、加大推广鉴定力度</w:t>
      </w:r>
      <w:r>
        <w:rPr>
          <w:rFonts w:hint="eastAsia" w:asciiTheme="minorEastAsia" w:hAnsiTheme="minorEastAsia" w:eastAsiaTheme="minorEastAsia"/>
          <w:szCs w:val="21"/>
        </w:rPr>
        <w:br w:type="textWrapping"/>
      </w:r>
      <w:r>
        <w:rPr>
          <w:rFonts w:asciiTheme="minorEastAsia" w:hAnsiTheme="minorEastAsia" w:eastAsiaTheme="minorEastAsia"/>
          <w:szCs w:val="21"/>
        </w:rPr>
        <w:t> </w:t>
      </w:r>
      <w:r>
        <w:rPr>
          <w:rFonts w:hint="eastAsia" w:asciiTheme="minorEastAsia" w:hAnsiTheme="minorEastAsia" w:eastAsiaTheme="minorEastAsia"/>
          <w:szCs w:val="21"/>
        </w:rPr>
        <w:t>　 要认真贯彻落实《财政部 国家发展改革委关于清理规范一批行政事业性收费有关政策的通知》（财税〔2017〕20号）精神，积极应对</w:t>
      </w:r>
      <w:r>
        <w:rPr>
          <w:rFonts w:asciiTheme="minorEastAsia" w:hAnsiTheme="minorEastAsia" w:eastAsiaTheme="minorEastAsia"/>
          <w:szCs w:val="21"/>
        </w:rPr>
        <w:t>“</w:t>
      </w:r>
      <w:r>
        <w:rPr>
          <w:rFonts w:hint="eastAsia" w:asciiTheme="minorEastAsia" w:hAnsiTheme="minorEastAsia" w:eastAsiaTheme="minorEastAsia"/>
          <w:szCs w:val="21"/>
        </w:rPr>
        <w:t>农机产品测试检验费</w:t>
      </w:r>
      <w:r>
        <w:rPr>
          <w:rFonts w:asciiTheme="minorEastAsia" w:hAnsiTheme="minorEastAsia" w:eastAsiaTheme="minorEastAsia"/>
          <w:szCs w:val="21"/>
        </w:rPr>
        <w:t>”</w:t>
      </w:r>
      <w:r>
        <w:rPr>
          <w:rFonts w:hint="eastAsia" w:asciiTheme="minorEastAsia" w:hAnsiTheme="minorEastAsia" w:eastAsiaTheme="minorEastAsia"/>
          <w:szCs w:val="21"/>
        </w:rPr>
        <w:t>停征后农机推广鉴定面临的新形势，主动履职尽责，积极挖潜扩能，确保农机推广鉴定工作不停、力度不减、有序开展，为农机购置补贴政策实施提供有力支撑。农机化主管部门要指导、支持农机鉴定机构积极受理、开展鉴定能力范围内的省级推广鉴定，主动承接能力范围内的部级鉴定项目，优先保障支持农业结构调整和绿色发展的农机产品的推广鉴定。省级农机鉴定机构要积极创造条件，拓展鉴定能力，发挥社会资源作用开展合作鉴定，最大限度满足企业鉴定需求；要加强部省间、省际间协调，做好能力补缺调剂，避免重复申请鉴定，保持鉴定工作良好秩序。</w:t>
      </w:r>
    </w:p>
    <w:p w14:paraId="5BABF912">
      <w:pPr>
        <w:shd w:val="clear" w:color="auto" w:fill="FFFFFF"/>
        <w:ind w:firstLine="640"/>
        <w:rPr>
          <w:rFonts w:asciiTheme="minorEastAsia" w:hAnsiTheme="minorEastAsia" w:eastAsiaTheme="minorEastAsia"/>
          <w:szCs w:val="21"/>
        </w:rPr>
      </w:pPr>
      <w:r>
        <w:rPr>
          <w:rFonts w:hint="eastAsia" w:asciiTheme="minorEastAsia" w:hAnsiTheme="minorEastAsia" w:eastAsiaTheme="minorEastAsia"/>
          <w:szCs w:val="21"/>
        </w:rPr>
        <w:t>四、加快补贴资金使用</w:t>
      </w:r>
    </w:p>
    <w:p w14:paraId="04AB41E0">
      <w:pPr>
        <w:shd w:val="clear" w:color="auto" w:fill="FFFFFF"/>
        <w:ind w:firstLine="640"/>
        <w:rPr>
          <w:rFonts w:asciiTheme="minorEastAsia" w:hAnsiTheme="minorEastAsia" w:eastAsiaTheme="minorEastAsia"/>
          <w:szCs w:val="21"/>
        </w:rPr>
      </w:pPr>
      <w:r>
        <w:rPr>
          <w:rFonts w:hint="eastAsia" w:asciiTheme="minorEastAsia" w:hAnsiTheme="minorEastAsia" w:eastAsiaTheme="minorEastAsia"/>
          <w:szCs w:val="21"/>
        </w:rPr>
        <w:t>全面公布年度实施方案、补贴额一览表、补贴产品信息表等，进一步加强政策宣传，扩大社会公众知晓度，激发农民群众购机用机积极性。做好农机购置补贴辅助管理系统年度衔接，加快启动2017年辅助管理系统。指导各地加快补贴申请受理、资格审核、机具核验、受益公示等工作，鼓励县乡开展随时申请、随时受理服务，加快补贴资金兑付。实行“先购后补”的省份要清理取消补贴申领有效期限制，稳定购机者预期。要密切与财政部门配合，定期调度分析市县资金使用进度，强化省域内资金余缺</w:t>
      </w:r>
      <w:r>
        <w:rPr>
          <w:rFonts w:hint="eastAsia" w:asciiTheme="minorEastAsia" w:hAnsiTheme="minorEastAsia" w:eastAsiaTheme="minorEastAsia"/>
          <w:vanish/>
          <w:szCs w:val="21"/>
        </w:rPr>
        <w:t>e nghua</w:t>
      </w:r>
      <w:r>
        <w:rPr>
          <w:rFonts w:hint="eastAsia" w:asciiTheme="minorEastAsia" w:hAnsiTheme="minorEastAsia" w:eastAsiaTheme="minorEastAsia"/>
          <w:szCs w:val="21"/>
        </w:rPr>
        <w:t>动态调剂，加快资金执行进度，实现资金供需</w:t>
      </w:r>
      <w:r>
        <w:rPr>
          <w:rFonts w:asciiTheme="minorEastAsia" w:hAnsiTheme="minorEastAsia" w:eastAsiaTheme="minorEastAsia"/>
          <w:szCs w:val="21"/>
        </w:rPr>
        <w:t>“</w:t>
      </w:r>
      <w:r>
        <w:rPr>
          <w:rFonts w:hint="eastAsia" w:asciiTheme="minorEastAsia" w:hAnsiTheme="minorEastAsia" w:eastAsiaTheme="minorEastAsia"/>
          <w:szCs w:val="21"/>
        </w:rPr>
        <w:t>两年动态紧平衡</w:t>
      </w:r>
      <w:r>
        <w:rPr>
          <w:rFonts w:asciiTheme="minorEastAsia" w:hAnsiTheme="minorEastAsia" w:eastAsiaTheme="minorEastAsia"/>
          <w:szCs w:val="21"/>
        </w:rPr>
        <w:t>”</w:t>
      </w:r>
      <w:r>
        <w:rPr>
          <w:rFonts w:hint="eastAsia" w:asciiTheme="minorEastAsia" w:hAnsiTheme="minorEastAsia" w:eastAsiaTheme="minorEastAsia"/>
          <w:szCs w:val="21"/>
        </w:rPr>
        <w:t xml:space="preserve">。农机新产品购置补贴试点省份要加快制定实施方案和补贴额一览表，抓紧部署实施。 </w:t>
      </w:r>
    </w:p>
    <w:p w14:paraId="73079FD1">
      <w:pPr>
        <w:shd w:val="clear" w:color="auto" w:fill="FFFFFF"/>
        <w:ind w:firstLine="640"/>
        <w:rPr>
          <w:rFonts w:asciiTheme="minorEastAsia" w:hAnsiTheme="minorEastAsia" w:eastAsiaTheme="minorEastAsia"/>
          <w:szCs w:val="21"/>
        </w:rPr>
      </w:pPr>
      <w:r>
        <w:rPr>
          <w:rFonts w:hint="eastAsia" w:asciiTheme="minorEastAsia" w:hAnsiTheme="minorEastAsia" w:eastAsiaTheme="minorEastAsia"/>
          <w:szCs w:val="21"/>
        </w:rPr>
        <w:t>五、加强政策实施监管</w:t>
      </w:r>
    </w:p>
    <w:p w14:paraId="75967F90">
      <w:pPr>
        <w:shd w:val="clear" w:color="auto" w:fill="FFFFFF"/>
        <w:ind w:firstLine="640"/>
        <w:rPr>
          <w:rFonts w:asciiTheme="minorEastAsia" w:hAnsiTheme="minorEastAsia" w:eastAsiaTheme="minorEastAsia"/>
          <w:szCs w:val="21"/>
        </w:rPr>
      </w:pPr>
      <w:r>
        <w:rPr>
          <w:rFonts w:hint="eastAsia" w:asciiTheme="minorEastAsia" w:hAnsiTheme="minorEastAsia" w:eastAsiaTheme="minorEastAsia"/>
          <w:szCs w:val="21"/>
        </w:rPr>
        <w:t>围绕补贴机具范围确定、分类分档与补贴额确定、资金规模分配、举报投诉查处、延伸绩效管理等关键环节工作，建立省级农机购置补贴工作内部控制规程，规范业务流程，明晰岗位职责，强化监督制约。进一步细化完善补贴机具核验流程，重点加强对大中型机具的核验和单人多台套、短期内大批量等异常申请补贴情形的监管，积极探索实行购机真实性承诺、受益信息实时公开和事后抽查核验相结合的补贴机具监管方式。全面贯彻《农业部办公厅财政部办公厅关于印发〈农业机械购置补贴产品违规经营行为处理办法（试行）〉的通知》（农办财〔2017〕26号），加快制定本辖区处理细则，加大违规行为查处力度，进一步推进省际间联动联查，严处失信违规主体。</w:t>
      </w:r>
    </w:p>
    <w:p w14:paraId="00FD2383">
      <w:pPr>
        <w:shd w:val="clear" w:color="auto" w:fill="FFFFFF"/>
        <w:ind w:firstLine="640"/>
        <w:rPr>
          <w:rFonts w:asciiTheme="minorEastAsia" w:hAnsiTheme="minorEastAsia" w:eastAsiaTheme="minorEastAsia"/>
          <w:szCs w:val="21"/>
        </w:rPr>
      </w:pPr>
      <w:r>
        <w:rPr>
          <w:rFonts w:asciiTheme="minorEastAsia" w:hAnsiTheme="minorEastAsia" w:eastAsiaTheme="minorEastAsia"/>
          <w:szCs w:val="21"/>
        </w:rPr>
        <w:t> </w:t>
      </w:r>
    </w:p>
    <w:p w14:paraId="0C83C02A">
      <w:pPr>
        <w:shd w:val="clear" w:color="auto" w:fill="FFFFFF"/>
        <w:ind w:firstLine="640"/>
        <w:rPr>
          <w:rFonts w:asciiTheme="minorEastAsia" w:hAnsiTheme="minorEastAsia" w:eastAsiaTheme="minorEastAsia"/>
          <w:szCs w:val="21"/>
        </w:rPr>
      </w:pPr>
      <w:r>
        <w:rPr>
          <w:rFonts w:asciiTheme="minorEastAsia" w:hAnsiTheme="minorEastAsia" w:eastAsiaTheme="minorEastAsia"/>
          <w:szCs w:val="21"/>
        </w:rPr>
        <w:t> </w:t>
      </w:r>
    </w:p>
    <w:p w14:paraId="47E8A7BC">
      <w:pPr>
        <w:shd w:val="clear" w:color="auto" w:fill="FFFFFF"/>
        <w:ind w:firstLine="640"/>
        <w:rPr>
          <w:rFonts w:asciiTheme="minorEastAsia" w:hAnsiTheme="minorEastAsia" w:eastAsiaTheme="minorEastAsia"/>
          <w:szCs w:val="21"/>
        </w:rPr>
      </w:pPr>
      <w:r>
        <w:rPr>
          <w:rFonts w:asciiTheme="minorEastAsia" w:hAnsiTheme="minorEastAsia" w:eastAsiaTheme="minorEastAsia"/>
          <w:szCs w:val="21"/>
        </w:rPr>
        <w:t> </w:t>
      </w:r>
    </w:p>
    <w:p w14:paraId="6E0B99B4">
      <w:pPr>
        <w:shd w:val="clear" w:color="auto" w:fill="FFFFFF"/>
        <w:ind w:firstLine="640"/>
        <w:rPr>
          <w:rFonts w:asciiTheme="minorEastAsia" w:hAnsiTheme="minorEastAsia" w:eastAsiaTheme="minorEastAsia"/>
          <w:szCs w:val="21"/>
        </w:rPr>
      </w:pPr>
      <w:r>
        <w:rPr>
          <w:rFonts w:hint="eastAsia" w:asciiTheme="minorEastAsia" w:hAnsiTheme="minorEastAsia" w:eastAsiaTheme="minorEastAsia"/>
          <w:szCs w:val="21"/>
        </w:rPr>
        <w:t>　　　　　　　　　　　　　　　　　　　 　　　　　　　　　　　　　　　　　　　　　　　　　　　　　　　　　　　　　　　　　　 　　 农业部办公厅</w:t>
      </w:r>
    </w:p>
    <w:p w14:paraId="604294E8">
      <w:pPr>
        <w:shd w:val="clear" w:color="auto" w:fill="FFFFFF"/>
        <w:ind w:firstLine="640"/>
        <w:rPr>
          <w:rFonts w:asciiTheme="minorEastAsia" w:hAnsiTheme="minorEastAsia" w:eastAsiaTheme="minorEastAsia"/>
          <w:szCs w:val="21"/>
        </w:rPr>
      </w:pPr>
      <w:r>
        <w:rPr>
          <w:rFonts w:hint="eastAsia" w:asciiTheme="minorEastAsia" w:hAnsiTheme="minorEastAsia" w:eastAsiaTheme="minorEastAsia"/>
          <w:szCs w:val="21"/>
        </w:rPr>
        <w:t>　　　　　　　　　　　　　　　　　　　　　　　　　　　　　　　　　　　　　　　　　　　　　　　　　　　　　　　　　　　　　　 　 2017年7月25日</w:t>
      </w:r>
    </w:p>
    <w:p w14:paraId="79F7B5D0">
      <w:pPr>
        <w:shd w:val="clear" w:color="auto" w:fill="FFFFFF"/>
        <w:spacing w:line="360" w:lineRule="atLeast"/>
        <w:ind w:firstLine="480"/>
        <w:rPr>
          <w:rFonts w:ascii="Arial" w:hAnsi="Arial" w:cs="Arial"/>
          <w:szCs w:val="21"/>
        </w:rPr>
      </w:pPr>
    </w:p>
    <w:p w14:paraId="353A0011">
      <w:pPr>
        <w:tabs>
          <w:tab w:val="left" w:pos="1120"/>
        </w:tabs>
        <w:jc w:val="center"/>
        <w:rPr>
          <w:rFonts w:ascii="宋体" w:hAnsi="宋体"/>
          <w:szCs w:val="21"/>
          <w:u w:val="single"/>
        </w:rPr>
      </w:pPr>
    </w:p>
    <w:p w14:paraId="136271F0">
      <w:pPr>
        <w:tabs>
          <w:tab w:val="left" w:pos="1120"/>
        </w:tabs>
        <w:jc w:val="center"/>
        <w:rPr>
          <w:rFonts w:ascii="宋体" w:hAnsi="宋体"/>
          <w:szCs w:val="21"/>
          <w:u w:val="single"/>
        </w:rPr>
      </w:pPr>
    </w:p>
    <w:p w14:paraId="02649E8C">
      <w:pPr>
        <w:tabs>
          <w:tab w:val="left" w:pos="1120"/>
        </w:tabs>
        <w:jc w:val="center"/>
        <w:rPr>
          <w:rFonts w:ascii="宋体" w:hAnsi="宋体"/>
          <w:szCs w:val="21"/>
          <w:u w:val="single"/>
        </w:rPr>
      </w:pPr>
    </w:p>
    <w:p w14:paraId="2CEDEE3E">
      <w:pPr>
        <w:tabs>
          <w:tab w:val="left" w:pos="1120"/>
        </w:tabs>
        <w:jc w:val="center"/>
        <w:rPr>
          <w:rFonts w:ascii="宋体" w:hAnsi="宋体"/>
          <w:szCs w:val="21"/>
          <w:u w:val="single"/>
        </w:rPr>
      </w:pPr>
    </w:p>
    <w:p w14:paraId="6A32E7CC">
      <w:pPr>
        <w:tabs>
          <w:tab w:val="left" w:pos="1120"/>
        </w:tabs>
        <w:jc w:val="center"/>
        <w:rPr>
          <w:rFonts w:ascii="宋体" w:hAnsi="宋体"/>
          <w:szCs w:val="21"/>
          <w:u w:val="single"/>
        </w:rPr>
      </w:pPr>
    </w:p>
    <w:p w14:paraId="636F90D4">
      <w:pPr>
        <w:tabs>
          <w:tab w:val="left" w:pos="1120"/>
        </w:tabs>
        <w:jc w:val="center"/>
        <w:rPr>
          <w:rFonts w:ascii="宋体" w:hAnsi="宋体"/>
          <w:szCs w:val="21"/>
          <w:u w:val="single"/>
        </w:rPr>
      </w:pPr>
    </w:p>
    <w:p w14:paraId="4FDB28DF">
      <w:pPr>
        <w:tabs>
          <w:tab w:val="left" w:pos="1120"/>
        </w:tabs>
        <w:jc w:val="center"/>
        <w:rPr>
          <w:rFonts w:ascii="宋体" w:hAnsi="宋体"/>
          <w:szCs w:val="21"/>
          <w:u w:val="single"/>
        </w:rPr>
      </w:pPr>
    </w:p>
    <w:p w14:paraId="0704DDEB">
      <w:pPr>
        <w:tabs>
          <w:tab w:val="left" w:pos="1120"/>
        </w:tabs>
        <w:jc w:val="center"/>
        <w:rPr>
          <w:rFonts w:ascii="宋体" w:hAnsi="宋体"/>
          <w:szCs w:val="21"/>
          <w:u w:val="single"/>
        </w:rPr>
      </w:pPr>
    </w:p>
    <w:p w14:paraId="4B25F9A8">
      <w:pPr>
        <w:tabs>
          <w:tab w:val="left" w:pos="1120"/>
        </w:tabs>
        <w:jc w:val="center"/>
        <w:rPr>
          <w:rFonts w:ascii="宋体" w:hAnsi="宋体"/>
          <w:szCs w:val="21"/>
          <w:u w:val="single"/>
        </w:rPr>
      </w:pPr>
    </w:p>
    <w:p w14:paraId="3836BC56">
      <w:pPr>
        <w:tabs>
          <w:tab w:val="left" w:pos="1120"/>
        </w:tabs>
        <w:jc w:val="center"/>
        <w:rPr>
          <w:rFonts w:ascii="宋体" w:hAnsi="宋体"/>
          <w:szCs w:val="21"/>
          <w:u w:val="single"/>
        </w:rPr>
      </w:pPr>
    </w:p>
    <w:p w14:paraId="0AEDBC14">
      <w:pPr>
        <w:tabs>
          <w:tab w:val="left" w:pos="1120"/>
        </w:tabs>
        <w:jc w:val="center"/>
        <w:rPr>
          <w:rFonts w:ascii="宋体" w:hAnsi="宋体"/>
          <w:szCs w:val="21"/>
          <w:u w:val="single"/>
        </w:rPr>
      </w:pPr>
    </w:p>
    <w:p w14:paraId="02D5A7AA">
      <w:pPr>
        <w:tabs>
          <w:tab w:val="left" w:pos="1120"/>
        </w:tabs>
        <w:jc w:val="center"/>
        <w:rPr>
          <w:rFonts w:ascii="宋体" w:hAnsi="宋体"/>
          <w:szCs w:val="21"/>
          <w:u w:val="single"/>
        </w:rPr>
      </w:pPr>
    </w:p>
    <w:p w14:paraId="55A17B30">
      <w:pPr>
        <w:tabs>
          <w:tab w:val="left" w:pos="1120"/>
        </w:tabs>
        <w:jc w:val="center"/>
        <w:rPr>
          <w:rFonts w:ascii="宋体" w:hAnsi="宋体"/>
          <w:szCs w:val="21"/>
          <w:u w:val="single"/>
        </w:rPr>
      </w:pPr>
    </w:p>
    <w:p w14:paraId="2D814F70">
      <w:pPr>
        <w:tabs>
          <w:tab w:val="left" w:pos="1120"/>
        </w:tabs>
        <w:jc w:val="center"/>
        <w:rPr>
          <w:rFonts w:ascii="宋体" w:hAnsi="宋体"/>
          <w:szCs w:val="21"/>
          <w:u w:val="single"/>
        </w:rPr>
      </w:pPr>
    </w:p>
    <w:p w14:paraId="46430D98">
      <w:pPr>
        <w:tabs>
          <w:tab w:val="left" w:pos="1120"/>
        </w:tabs>
        <w:jc w:val="center"/>
        <w:rPr>
          <w:rFonts w:ascii="宋体" w:hAnsi="宋体"/>
          <w:szCs w:val="21"/>
          <w:u w:val="single"/>
        </w:rPr>
      </w:pPr>
    </w:p>
    <w:p w14:paraId="621D3955">
      <w:pPr>
        <w:tabs>
          <w:tab w:val="left" w:pos="1120"/>
        </w:tabs>
        <w:jc w:val="center"/>
        <w:rPr>
          <w:rFonts w:ascii="宋体" w:hAnsi="宋体"/>
          <w:szCs w:val="21"/>
          <w:u w:val="single"/>
        </w:rPr>
      </w:pPr>
    </w:p>
    <w:p w14:paraId="6367669F">
      <w:pPr>
        <w:tabs>
          <w:tab w:val="left" w:pos="1120"/>
        </w:tabs>
        <w:jc w:val="center"/>
        <w:rPr>
          <w:rFonts w:ascii="宋体" w:hAnsi="宋体"/>
          <w:szCs w:val="21"/>
          <w:u w:val="single"/>
        </w:rPr>
      </w:pPr>
    </w:p>
    <w:p w14:paraId="4D85FAD0">
      <w:pPr>
        <w:tabs>
          <w:tab w:val="left" w:pos="1120"/>
        </w:tabs>
        <w:jc w:val="center"/>
        <w:rPr>
          <w:rFonts w:ascii="宋体" w:hAnsi="宋体"/>
          <w:szCs w:val="21"/>
          <w:u w:val="single"/>
        </w:rPr>
      </w:pPr>
    </w:p>
    <w:p w14:paraId="6B62101C">
      <w:pPr>
        <w:tabs>
          <w:tab w:val="left" w:pos="1120"/>
        </w:tabs>
        <w:jc w:val="center"/>
        <w:rPr>
          <w:rFonts w:ascii="宋体" w:hAnsi="宋体"/>
          <w:szCs w:val="21"/>
          <w:u w:val="single"/>
        </w:rPr>
      </w:pPr>
    </w:p>
    <w:p w14:paraId="5D441D4C">
      <w:pPr>
        <w:tabs>
          <w:tab w:val="left" w:pos="1120"/>
        </w:tabs>
        <w:jc w:val="center"/>
        <w:rPr>
          <w:rFonts w:ascii="宋体" w:hAnsi="宋体"/>
          <w:szCs w:val="21"/>
          <w:u w:val="single"/>
        </w:rPr>
      </w:pPr>
    </w:p>
    <w:p w14:paraId="6C2F909B">
      <w:pPr>
        <w:tabs>
          <w:tab w:val="left" w:pos="1120"/>
        </w:tabs>
        <w:jc w:val="center"/>
        <w:rPr>
          <w:rFonts w:ascii="宋体" w:hAnsi="宋体"/>
          <w:szCs w:val="21"/>
          <w:u w:val="single"/>
        </w:rPr>
      </w:pPr>
    </w:p>
    <w:p w14:paraId="4714A712">
      <w:pPr>
        <w:tabs>
          <w:tab w:val="left" w:pos="1120"/>
        </w:tabs>
        <w:jc w:val="center"/>
        <w:rPr>
          <w:rFonts w:ascii="宋体" w:hAnsi="宋体"/>
          <w:szCs w:val="21"/>
          <w:u w:val="single"/>
        </w:rPr>
      </w:pPr>
    </w:p>
    <w:p w14:paraId="05CA0F58">
      <w:pPr>
        <w:tabs>
          <w:tab w:val="left" w:pos="1120"/>
        </w:tabs>
        <w:jc w:val="center"/>
        <w:rPr>
          <w:rFonts w:ascii="宋体" w:hAnsi="宋体"/>
          <w:szCs w:val="21"/>
          <w:u w:val="single"/>
        </w:rPr>
      </w:pPr>
    </w:p>
    <w:p w14:paraId="62ADC1D5">
      <w:pPr>
        <w:tabs>
          <w:tab w:val="left" w:pos="1120"/>
        </w:tabs>
        <w:jc w:val="center"/>
        <w:rPr>
          <w:rFonts w:ascii="宋体" w:hAnsi="宋体"/>
          <w:szCs w:val="21"/>
          <w:u w:val="single"/>
        </w:rPr>
      </w:pPr>
    </w:p>
    <w:p w14:paraId="15C7B4E6">
      <w:pPr>
        <w:tabs>
          <w:tab w:val="left" w:pos="1120"/>
        </w:tabs>
        <w:jc w:val="center"/>
        <w:rPr>
          <w:rFonts w:ascii="宋体" w:hAnsi="宋体"/>
          <w:szCs w:val="21"/>
          <w:u w:val="single"/>
        </w:rPr>
      </w:pPr>
    </w:p>
    <w:p w14:paraId="098B7728">
      <w:pPr>
        <w:tabs>
          <w:tab w:val="left" w:pos="1120"/>
        </w:tabs>
        <w:jc w:val="center"/>
        <w:rPr>
          <w:rFonts w:ascii="宋体" w:hAnsi="宋体"/>
          <w:szCs w:val="21"/>
          <w:u w:val="single"/>
        </w:rPr>
      </w:pPr>
    </w:p>
    <w:p w14:paraId="143F24F5">
      <w:pPr>
        <w:tabs>
          <w:tab w:val="left" w:pos="1120"/>
        </w:tabs>
        <w:jc w:val="center"/>
        <w:rPr>
          <w:rFonts w:ascii="宋体" w:hAnsi="宋体"/>
          <w:szCs w:val="21"/>
          <w:u w:val="single"/>
        </w:rPr>
      </w:pPr>
    </w:p>
    <w:p w14:paraId="1B48F300">
      <w:pPr>
        <w:tabs>
          <w:tab w:val="left" w:pos="1120"/>
        </w:tabs>
        <w:jc w:val="center"/>
        <w:rPr>
          <w:rFonts w:ascii="宋体" w:hAnsi="宋体"/>
          <w:szCs w:val="21"/>
          <w:u w:val="single"/>
        </w:rPr>
      </w:pPr>
    </w:p>
    <w:p w14:paraId="59CCA891">
      <w:pPr>
        <w:tabs>
          <w:tab w:val="left" w:pos="1120"/>
        </w:tabs>
        <w:jc w:val="center"/>
        <w:rPr>
          <w:rFonts w:ascii="宋体" w:hAnsi="宋体"/>
          <w:szCs w:val="21"/>
          <w:u w:val="single"/>
        </w:rPr>
      </w:pPr>
    </w:p>
    <w:p w14:paraId="7B501372">
      <w:pPr>
        <w:tabs>
          <w:tab w:val="left" w:pos="1120"/>
        </w:tabs>
        <w:jc w:val="center"/>
        <w:rPr>
          <w:rFonts w:ascii="宋体" w:hAnsi="宋体"/>
          <w:szCs w:val="21"/>
          <w:u w:val="single"/>
        </w:rPr>
      </w:pPr>
    </w:p>
    <w:p w14:paraId="3477FE8B">
      <w:pPr>
        <w:tabs>
          <w:tab w:val="left" w:pos="1120"/>
        </w:tabs>
        <w:jc w:val="center"/>
        <w:rPr>
          <w:rFonts w:ascii="宋体" w:hAnsi="宋体"/>
          <w:szCs w:val="21"/>
          <w:u w:val="single"/>
        </w:rPr>
      </w:pPr>
    </w:p>
    <w:p w14:paraId="022D6EC7">
      <w:pPr>
        <w:tabs>
          <w:tab w:val="left" w:pos="1120"/>
        </w:tabs>
        <w:jc w:val="center"/>
        <w:rPr>
          <w:rFonts w:ascii="宋体" w:hAnsi="宋体"/>
          <w:szCs w:val="21"/>
          <w:u w:val="single"/>
        </w:rPr>
      </w:pPr>
    </w:p>
    <w:p w14:paraId="7E45A67B">
      <w:pPr>
        <w:tabs>
          <w:tab w:val="left" w:pos="1120"/>
        </w:tabs>
        <w:jc w:val="center"/>
        <w:rPr>
          <w:rFonts w:ascii="宋体" w:hAnsi="宋体"/>
          <w:szCs w:val="21"/>
          <w:u w:val="single"/>
        </w:rPr>
      </w:pPr>
    </w:p>
    <w:p w14:paraId="37A51F22">
      <w:pPr>
        <w:tabs>
          <w:tab w:val="left" w:pos="1120"/>
        </w:tabs>
        <w:jc w:val="center"/>
        <w:rPr>
          <w:rFonts w:ascii="宋体" w:hAnsi="宋体"/>
          <w:szCs w:val="21"/>
          <w:u w:val="single"/>
        </w:rPr>
      </w:pPr>
    </w:p>
    <w:p w14:paraId="75080B09">
      <w:pPr>
        <w:tabs>
          <w:tab w:val="left" w:pos="1120"/>
        </w:tabs>
        <w:jc w:val="center"/>
        <w:rPr>
          <w:rFonts w:ascii="宋体" w:hAnsi="宋体"/>
          <w:szCs w:val="21"/>
          <w:u w:val="single"/>
        </w:rPr>
      </w:pPr>
    </w:p>
    <w:p w14:paraId="0E1D6859">
      <w:pPr>
        <w:tabs>
          <w:tab w:val="left" w:pos="1120"/>
        </w:tabs>
        <w:jc w:val="center"/>
        <w:rPr>
          <w:rFonts w:ascii="宋体" w:hAnsi="宋体"/>
          <w:szCs w:val="21"/>
          <w:u w:val="single"/>
        </w:rPr>
      </w:pPr>
    </w:p>
    <w:p w14:paraId="4E974C66">
      <w:pPr>
        <w:tabs>
          <w:tab w:val="left" w:pos="1120"/>
        </w:tabs>
        <w:jc w:val="center"/>
        <w:rPr>
          <w:rFonts w:ascii="宋体" w:hAnsi="宋体"/>
          <w:szCs w:val="21"/>
          <w:u w:val="single"/>
        </w:rPr>
      </w:pPr>
    </w:p>
    <w:p w14:paraId="7DDF2BB4">
      <w:pPr>
        <w:tabs>
          <w:tab w:val="left" w:pos="1120"/>
        </w:tabs>
        <w:jc w:val="center"/>
        <w:rPr>
          <w:rFonts w:ascii="宋体" w:hAnsi="宋体"/>
          <w:szCs w:val="21"/>
          <w:u w:val="single"/>
        </w:rPr>
      </w:pPr>
    </w:p>
    <w:p w14:paraId="2186D5BE">
      <w:pPr>
        <w:tabs>
          <w:tab w:val="left" w:pos="1120"/>
        </w:tabs>
        <w:jc w:val="center"/>
        <w:rPr>
          <w:rFonts w:ascii="宋体" w:hAnsi="宋体"/>
          <w:szCs w:val="21"/>
          <w:u w:val="single"/>
        </w:rPr>
      </w:pPr>
    </w:p>
    <w:p w14:paraId="6590A8A5">
      <w:pPr>
        <w:tabs>
          <w:tab w:val="left" w:pos="1120"/>
        </w:tabs>
        <w:jc w:val="center"/>
        <w:rPr>
          <w:rFonts w:ascii="宋体" w:hAnsi="宋体"/>
          <w:szCs w:val="21"/>
          <w:u w:val="single"/>
        </w:rPr>
      </w:pPr>
    </w:p>
    <w:p w14:paraId="22D2CC1F">
      <w:pPr>
        <w:shd w:val="clear" w:color="auto" w:fill="FFFFFF"/>
        <w:ind w:firstLine="480"/>
        <w:rPr>
          <w:szCs w:val="21"/>
        </w:rPr>
      </w:pPr>
      <w:r>
        <w:rPr>
          <w:rFonts w:hint="eastAsia" w:ascii="黑体" w:hAnsi="黑体" w:eastAsia="黑体"/>
          <w:color w:val="545454"/>
          <w:sz w:val="32"/>
          <w:szCs w:val="32"/>
        </w:rPr>
        <w:t>宁夏回族自治区实施《中华人民共和国政府信息公开条例》办法</w:t>
      </w:r>
    </w:p>
    <w:p w14:paraId="7FB130CA">
      <w:r>
        <w:rPr>
          <w:rFonts w:hint="eastAsia"/>
        </w:rPr>
        <w:t>第一章 总则</w:t>
      </w:r>
    </w:p>
    <w:p w14:paraId="1B40C3B9">
      <w:pPr>
        <w:shd w:val="clear" w:color="auto" w:fill="FFFFFF"/>
        <w:ind w:firstLine="480"/>
        <w:rPr>
          <w:szCs w:val="21"/>
        </w:rPr>
      </w:pPr>
    </w:p>
    <w:p w14:paraId="1F034AE2">
      <w:pPr>
        <w:shd w:val="clear" w:color="auto" w:fill="FFFFFF"/>
        <w:ind w:firstLine="480"/>
        <w:rPr>
          <w:rFonts w:ascii="宋体" w:hAnsi="宋体"/>
          <w:szCs w:val="21"/>
        </w:rPr>
      </w:pPr>
      <w:r>
        <w:rPr>
          <w:szCs w:val="21"/>
        </w:rPr>
        <w:t>第一条　为了规范政府信息公开工作，根据《中华人民共和国政府信息公开条例》(以下简称《条例》)和有关法律、法规的规定，结合自治区实际，制定本办法。　　</w:t>
      </w:r>
    </w:p>
    <w:p w14:paraId="33779F8F">
      <w:pPr>
        <w:shd w:val="clear" w:color="auto" w:fill="FFFFFF"/>
        <w:ind w:firstLine="480"/>
        <w:rPr>
          <w:szCs w:val="21"/>
        </w:rPr>
      </w:pPr>
      <w:r>
        <w:rPr>
          <w:szCs w:val="21"/>
        </w:rPr>
        <w:t>第二条　各级人民政府及县级以上人民政府部门(含政府组成部门、政府直属机构、政府部门管理机构、承担行政职能的事业单位，以下统称行政机关)公开政府信息以及公民、法人和其他组织依法获取政府信息的活动，适用本办法。　　</w:t>
      </w:r>
    </w:p>
    <w:p w14:paraId="14B29B5F">
      <w:pPr>
        <w:shd w:val="clear" w:color="auto" w:fill="FFFFFF"/>
        <w:ind w:firstLine="480"/>
        <w:rPr>
          <w:szCs w:val="21"/>
        </w:rPr>
      </w:pPr>
      <w:r>
        <w:rPr>
          <w:szCs w:val="21"/>
        </w:rPr>
        <w:t>第三条　各级人民政府应当加强对政府信息公开工作的组织领导。</w:t>
      </w:r>
    </w:p>
    <w:p w14:paraId="6AB33897">
      <w:pPr>
        <w:shd w:val="clear" w:color="auto" w:fill="FFFFFF"/>
        <w:ind w:firstLine="480"/>
        <w:rPr>
          <w:szCs w:val="21"/>
        </w:rPr>
      </w:pPr>
      <w:r>
        <w:rPr>
          <w:szCs w:val="21"/>
        </w:rPr>
        <w:t>县级以上人民政府办公厅(室)是政府信息公开工作的主管部门，负责推进、指导、协调、监督政府信息公开工作。</w:t>
      </w:r>
    </w:p>
    <w:p w14:paraId="2248FEAA">
      <w:pPr>
        <w:shd w:val="clear" w:color="auto" w:fill="FFFFFF"/>
        <w:ind w:firstLine="480"/>
        <w:rPr>
          <w:szCs w:val="21"/>
        </w:rPr>
      </w:pPr>
      <w:r>
        <w:rPr>
          <w:szCs w:val="21"/>
        </w:rPr>
        <w:t>各级保密行政管理部门负责对政府信息公开保密审查工作进行监督和指导。　　</w:t>
      </w:r>
    </w:p>
    <w:p w14:paraId="098DA349">
      <w:pPr>
        <w:shd w:val="clear" w:color="auto" w:fill="FFFFFF"/>
        <w:ind w:firstLine="480"/>
        <w:rPr>
          <w:szCs w:val="21"/>
        </w:rPr>
      </w:pPr>
      <w:r>
        <w:rPr>
          <w:szCs w:val="21"/>
        </w:rPr>
        <w:t>第四条　实行垂直领导的部门(单位)应当在上级业务主管部门(单位)的领导下和所在地人民政府的统一指导、协调下开展政府信息公开工作。实行双重领导的部门(单位)应当在所在地人民政府的领导下开展政府信息公开工作，同时接受上级业务主管部门(单位)的指导。　</w:t>
      </w:r>
    </w:p>
    <w:p w14:paraId="09E18C88">
      <w:pPr>
        <w:shd w:val="clear" w:color="auto" w:fill="FFFFFF"/>
        <w:ind w:firstLine="480"/>
        <w:rPr>
          <w:szCs w:val="21"/>
        </w:rPr>
      </w:pPr>
      <w:r>
        <w:rPr>
          <w:szCs w:val="21"/>
        </w:rPr>
        <w:t>第五条　教育、卫生、民政、住房城乡建设、人口计生、经济和信息化、环境保护、交通运输等有关行政部门，应当对所属或者管理的公用企事业单位的信息公开工作进行监督和指导，督促其做好信息公开工作。　　</w:t>
      </w:r>
    </w:p>
    <w:p w14:paraId="5A68063E">
      <w:pPr>
        <w:shd w:val="clear" w:color="auto" w:fill="FFFFFF"/>
        <w:ind w:firstLine="480"/>
        <w:rPr>
          <w:szCs w:val="21"/>
        </w:rPr>
      </w:pPr>
      <w:r>
        <w:rPr>
          <w:szCs w:val="21"/>
        </w:rPr>
        <w:t>第六条　行政机关应当建立健全本机关的政府信息公开保密审查、发布协调、虚假或不完整信息澄清、主动公开及依申请公开等项工作制度，明确负责政府信息公开工作机构职责。</w:t>
      </w:r>
    </w:p>
    <w:p w14:paraId="6545C7C2">
      <w:pPr>
        <w:shd w:val="clear" w:color="auto" w:fill="FFFFFF"/>
        <w:ind w:firstLine="480"/>
        <w:rPr>
          <w:szCs w:val="21"/>
        </w:rPr>
      </w:pPr>
      <w:r>
        <w:rPr>
          <w:szCs w:val="21"/>
        </w:rPr>
        <w:t>行政机关内设的办公厅(室)负责组织、协调、指导、实施本机关政府信息公开工作，负责本机关政府信息公开的日常工作，履行《条例》第四条规定的各项职责。　　</w:t>
      </w:r>
    </w:p>
    <w:p w14:paraId="79369133">
      <w:pPr>
        <w:shd w:val="clear" w:color="auto" w:fill="FFFFFF"/>
        <w:ind w:firstLine="480"/>
        <w:rPr>
          <w:szCs w:val="21"/>
        </w:rPr>
      </w:pPr>
      <w:r>
        <w:rPr>
          <w:szCs w:val="21"/>
        </w:rPr>
        <w:t>第七条　行政机关应当为政府信息公开工作机构确定专门工作人员、提供工作条件和经费，支持和监督本机关政府信息公开工作机构依法履行职责。</w:t>
      </w:r>
    </w:p>
    <w:p w14:paraId="24DACDBF">
      <w:pPr>
        <w:shd w:val="clear" w:color="auto" w:fill="FFFFFF"/>
        <w:ind w:firstLine="480"/>
        <w:rPr>
          <w:szCs w:val="21"/>
        </w:rPr>
      </w:pPr>
    </w:p>
    <w:p w14:paraId="251BDBAD">
      <w:bookmarkStart w:id="9" w:name="第二章_主动公开"/>
      <w:bookmarkEnd w:id="9"/>
      <w:r>
        <w:rPr>
          <w:rFonts w:hint="eastAsia"/>
        </w:rPr>
        <w:t>第二章 主动公开</w:t>
      </w:r>
    </w:p>
    <w:p w14:paraId="0FD22EB6">
      <w:pPr>
        <w:shd w:val="clear" w:color="auto" w:fill="FFFFFF"/>
        <w:ind w:firstLine="480"/>
        <w:rPr>
          <w:szCs w:val="21"/>
        </w:rPr>
      </w:pPr>
    </w:p>
    <w:p w14:paraId="177EDEF6">
      <w:pPr>
        <w:shd w:val="clear" w:color="auto" w:fill="FFFFFF"/>
        <w:ind w:firstLine="480"/>
        <w:rPr>
          <w:rFonts w:ascii="宋体" w:hAnsi="宋体"/>
          <w:szCs w:val="21"/>
        </w:rPr>
      </w:pPr>
      <w:r>
        <w:rPr>
          <w:szCs w:val="21"/>
        </w:rPr>
        <w:t>第八条　行政机关应当依据《条例》第九条、第十条、第十一条、第十二条的规定确定主动公开的政府信息事项，编制本机关的政府信息公开目录和指南，并及时更新。</w:t>
      </w:r>
    </w:p>
    <w:p w14:paraId="7F0C99AF">
      <w:pPr>
        <w:shd w:val="clear" w:color="auto" w:fill="FFFFFF"/>
        <w:ind w:firstLine="480"/>
        <w:rPr>
          <w:szCs w:val="21"/>
        </w:rPr>
      </w:pPr>
      <w:r>
        <w:rPr>
          <w:szCs w:val="21"/>
        </w:rPr>
        <w:t>除前款规定的内容外，行政机关主动公开的事项还应当包括下列内容:</w:t>
      </w:r>
    </w:p>
    <w:p w14:paraId="09C58E29">
      <w:pPr>
        <w:shd w:val="clear" w:color="auto" w:fill="FFFFFF"/>
        <w:ind w:firstLine="480"/>
        <w:rPr>
          <w:szCs w:val="21"/>
        </w:rPr>
      </w:pPr>
      <w:r>
        <w:rPr>
          <w:szCs w:val="21"/>
        </w:rPr>
        <w:t>(一)工作机构的名称、办公地址、办公时间、联系电话、传真号码、电子邮箱等内容;</w:t>
      </w:r>
    </w:p>
    <w:p w14:paraId="5747CD3D">
      <w:pPr>
        <w:shd w:val="clear" w:color="auto" w:fill="FFFFFF"/>
        <w:ind w:firstLine="480"/>
        <w:rPr>
          <w:szCs w:val="21"/>
        </w:rPr>
      </w:pPr>
      <w:r>
        <w:rPr>
          <w:szCs w:val="21"/>
        </w:rPr>
        <w:t>(二)办事纪律和监督制度;</w:t>
      </w:r>
    </w:p>
    <w:p w14:paraId="6B898F74">
      <w:pPr>
        <w:shd w:val="clear" w:color="auto" w:fill="FFFFFF"/>
        <w:ind w:firstLine="480"/>
        <w:rPr>
          <w:szCs w:val="21"/>
        </w:rPr>
      </w:pPr>
      <w:r>
        <w:rPr>
          <w:szCs w:val="21"/>
        </w:rPr>
        <w:t>(三)办理结果和救济方式;</w:t>
      </w:r>
    </w:p>
    <w:p w14:paraId="4314C4B3">
      <w:pPr>
        <w:shd w:val="clear" w:color="auto" w:fill="FFFFFF"/>
        <w:ind w:firstLine="480"/>
        <w:rPr>
          <w:szCs w:val="21"/>
        </w:rPr>
      </w:pPr>
      <w:r>
        <w:rPr>
          <w:szCs w:val="21"/>
        </w:rPr>
        <w:t>(四)其他应当公开的政府信息。　　</w:t>
      </w:r>
    </w:p>
    <w:p w14:paraId="07D61A21">
      <w:pPr>
        <w:shd w:val="clear" w:color="auto" w:fill="FFFFFF"/>
        <w:ind w:firstLine="480"/>
        <w:rPr>
          <w:szCs w:val="21"/>
        </w:rPr>
      </w:pPr>
      <w:r>
        <w:rPr>
          <w:szCs w:val="21"/>
        </w:rPr>
        <w:t>第九条　行政机关通过下列方式、载体或者场所公开政府信息，并及时更新:</w:t>
      </w:r>
    </w:p>
    <w:p w14:paraId="549BFCFE">
      <w:pPr>
        <w:shd w:val="clear" w:color="auto" w:fill="FFFFFF"/>
        <w:ind w:firstLine="480"/>
        <w:rPr>
          <w:szCs w:val="21"/>
        </w:rPr>
      </w:pPr>
      <w:r>
        <w:rPr>
          <w:szCs w:val="21"/>
        </w:rPr>
        <w:t>(一)政府网站;</w:t>
      </w:r>
    </w:p>
    <w:p w14:paraId="1033EFB3">
      <w:pPr>
        <w:shd w:val="clear" w:color="auto" w:fill="FFFFFF"/>
        <w:ind w:firstLine="480"/>
        <w:rPr>
          <w:szCs w:val="21"/>
        </w:rPr>
      </w:pPr>
      <w:r>
        <w:rPr>
          <w:szCs w:val="21"/>
        </w:rPr>
        <w:t>(二)政府公报(政报)或者行政机关公开发行的其他信息专刊;</w:t>
      </w:r>
    </w:p>
    <w:p w14:paraId="1306062F">
      <w:pPr>
        <w:shd w:val="clear" w:color="auto" w:fill="FFFFFF"/>
        <w:ind w:firstLine="480"/>
        <w:rPr>
          <w:szCs w:val="21"/>
        </w:rPr>
      </w:pPr>
      <w:r>
        <w:rPr>
          <w:szCs w:val="21"/>
        </w:rPr>
        <w:t>(三)新闻发布会;</w:t>
      </w:r>
    </w:p>
    <w:p w14:paraId="4AB585D1">
      <w:pPr>
        <w:shd w:val="clear" w:color="auto" w:fill="FFFFFF"/>
        <w:ind w:firstLine="480"/>
        <w:rPr>
          <w:szCs w:val="21"/>
        </w:rPr>
      </w:pPr>
      <w:r>
        <w:rPr>
          <w:szCs w:val="21"/>
        </w:rPr>
        <w:t>(四)报刊、广播、电视等媒体;</w:t>
      </w:r>
    </w:p>
    <w:p w14:paraId="53D6C714">
      <w:pPr>
        <w:shd w:val="clear" w:color="auto" w:fill="FFFFFF"/>
        <w:ind w:firstLine="480"/>
        <w:rPr>
          <w:szCs w:val="21"/>
        </w:rPr>
      </w:pPr>
      <w:r>
        <w:rPr>
          <w:szCs w:val="21"/>
        </w:rPr>
        <w:t>(五)国家档案馆、公共图书馆;</w:t>
      </w:r>
    </w:p>
    <w:p w14:paraId="7A1CFD23">
      <w:pPr>
        <w:shd w:val="clear" w:color="auto" w:fill="FFFFFF"/>
        <w:ind w:firstLine="480"/>
        <w:rPr>
          <w:szCs w:val="21"/>
        </w:rPr>
      </w:pPr>
      <w:r>
        <w:rPr>
          <w:szCs w:val="21"/>
        </w:rPr>
        <w:t>(六)政务服务中心、公共查阅室、资料索取点;</w:t>
      </w:r>
    </w:p>
    <w:p w14:paraId="75F1F3EC">
      <w:pPr>
        <w:shd w:val="clear" w:color="auto" w:fill="FFFFFF"/>
        <w:ind w:firstLine="480"/>
        <w:rPr>
          <w:szCs w:val="21"/>
        </w:rPr>
      </w:pPr>
      <w:r>
        <w:rPr>
          <w:szCs w:val="21"/>
        </w:rPr>
        <w:t>(七)信息公告栏、电子信息屏等;</w:t>
      </w:r>
    </w:p>
    <w:p w14:paraId="23FB0B0E">
      <w:pPr>
        <w:shd w:val="clear" w:color="auto" w:fill="FFFFFF"/>
        <w:ind w:firstLine="480"/>
        <w:rPr>
          <w:szCs w:val="21"/>
        </w:rPr>
      </w:pPr>
      <w:r>
        <w:rPr>
          <w:szCs w:val="21"/>
        </w:rPr>
        <w:t>(八)其他便于公众及时准确获取政府信息的方式、载体或者场所。　　</w:t>
      </w:r>
    </w:p>
    <w:p w14:paraId="0F240A6A">
      <w:pPr>
        <w:shd w:val="clear" w:color="auto" w:fill="FFFFFF"/>
        <w:ind w:firstLine="480"/>
        <w:rPr>
          <w:szCs w:val="21"/>
        </w:rPr>
      </w:pPr>
      <w:r>
        <w:rPr>
          <w:szCs w:val="21"/>
        </w:rPr>
        <w:t>第十条　县级以上人民政府应当在本级国家档案馆、公共图书馆设置政府信息查阅场所，并配备相应的设施、设备，为公民、法人或者其他组织获取政府信息提供便利。　　</w:t>
      </w:r>
    </w:p>
    <w:p w14:paraId="1040F105">
      <w:pPr>
        <w:shd w:val="clear" w:color="auto" w:fill="FFFFFF"/>
        <w:ind w:firstLine="480"/>
        <w:rPr>
          <w:szCs w:val="21"/>
        </w:rPr>
      </w:pPr>
      <w:r>
        <w:rPr>
          <w:szCs w:val="21"/>
        </w:rPr>
        <w:t>第十一条　行政机关应当在政务服务中心、社区服务等场所或者根据需要选择适当的地点设立公共查阅室、资料索取点、信息公告栏、电子信息屏等设施，公开政府信息。　　</w:t>
      </w:r>
    </w:p>
    <w:p w14:paraId="24158817">
      <w:pPr>
        <w:shd w:val="clear" w:color="auto" w:fill="FFFFFF"/>
        <w:ind w:firstLine="480"/>
        <w:rPr>
          <w:szCs w:val="21"/>
        </w:rPr>
      </w:pPr>
      <w:r>
        <w:rPr>
          <w:szCs w:val="21"/>
        </w:rPr>
        <w:t>第十二条　对涉及面广、需要公众迅速知晓的政府信息，行政机关应当及时通过报刊、广播、电视等新闻媒体公开，也可以通过手机短信公开。　　</w:t>
      </w:r>
    </w:p>
    <w:p w14:paraId="66B04D9B">
      <w:pPr>
        <w:shd w:val="clear" w:color="auto" w:fill="FFFFFF"/>
        <w:ind w:firstLine="480"/>
        <w:rPr>
          <w:szCs w:val="21"/>
        </w:rPr>
      </w:pPr>
      <w:r>
        <w:rPr>
          <w:szCs w:val="21"/>
        </w:rPr>
        <w:t>第十三条　重大突发事件以及其他需要公众知晓的重要政府信息，行政机关应当及时通过召开新闻发布会予以公开。　　</w:t>
      </w:r>
    </w:p>
    <w:p w14:paraId="1614167B">
      <w:pPr>
        <w:shd w:val="clear" w:color="auto" w:fill="FFFFFF"/>
        <w:ind w:firstLine="480"/>
        <w:rPr>
          <w:szCs w:val="21"/>
        </w:rPr>
      </w:pPr>
      <w:r>
        <w:rPr>
          <w:szCs w:val="21"/>
        </w:rPr>
        <w:t>第十四条　行政机关应当自主动公开的政府信息正式形成或者变更之日起20个工作日内，向本级国家档案馆、公共图书馆提供纸质文本和电子文本。　　</w:t>
      </w:r>
    </w:p>
    <w:p w14:paraId="71FEF27C">
      <w:pPr>
        <w:shd w:val="clear" w:color="auto" w:fill="FFFFFF"/>
        <w:ind w:firstLine="480"/>
        <w:rPr>
          <w:szCs w:val="21"/>
        </w:rPr>
      </w:pPr>
      <w:r>
        <w:rPr>
          <w:szCs w:val="21"/>
        </w:rPr>
        <w:t>第十五条　政府规章、规范性文件和其他重大行政措施、行政决策方案草案应当在政府门户网站公开征求公众意见，也可以通过报刊等新闻媒体公开征求公众意见。</w:t>
      </w:r>
    </w:p>
    <w:p w14:paraId="51119BE6">
      <w:pPr>
        <w:shd w:val="clear" w:color="auto" w:fill="FFFFFF"/>
        <w:ind w:firstLine="480"/>
        <w:rPr>
          <w:szCs w:val="21"/>
        </w:rPr>
      </w:pPr>
      <w:r>
        <w:rPr>
          <w:szCs w:val="21"/>
        </w:rPr>
        <w:t>行政机关制定的规章、规范性文件应当在本机关门户网站上设专栏公布;尚未建立网站的，应当在县级以上人民政府网站设专栏公布。　</w:t>
      </w:r>
    </w:p>
    <w:p w14:paraId="381B75C4">
      <w:pPr>
        <w:shd w:val="clear" w:color="auto" w:fill="FFFFFF"/>
        <w:ind w:firstLine="480"/>
        <w:rPr>
          <w:szCs w:val="21"/>
        </w:rPr>
      </w:pPr>
      <w:r>
        <w:rPr>
          <w:szCs w:val="21"/>
        </w:rPr>
        <w:t>第十六条　行政机关应当对拟公开的政府信息是否涉及国家秘密或者公开后是否存在危及国家安全、公共安全、经济安全和社会稳定的情况进行审查;不能确定的，依法报有关主管部门或者同级保密行政管理部门确定，有关主管部门或者同级保密行政管理部门应当在收到行政机关的请示后10个工作日内确定。</w:t>
      </w:r>
    </w:p>
    <w:p w14:paraId="4832242C">
      <w:pPr>
        <w:shd w:val="clear" w:color="auto" w:fill="FFFFFF"/>
        <w:ind w:firstLine="480"/>
        <w:rPr>
          <w:szCs w:val="21"/>
        </w:rPr>
      </w:pPr>
      <w:r>
        <w:rPr>
          <w:szCs w:val="21"/>
        </w:rPr>
        <w:t>政府信息的主要内容需要公众知晓或者参与，但部分内容涉及国家秘密或不宜公开的，应当删除涉密或不宜公开的内容后公开;符合解密条件的，经法定程序解密后公开。</w:t>
      </w:r>
    </w:p>
    <w:p w14:paraId="7BCC7832">
      <w:pPr>
        <w:shd w:val="clear" w:color="auto" w:fill="FFFFFF"/>
        <w:ind w:firstLine="480"/>
        <w:rPr>
          <w:szCs w:val="21"/>
        </w:rPr>
      </w:pPr>
      <w:r>
        <w:rPr>
          <w:szCs w:val="21"/>
        </w:rPr>
        <w:t>未经保密审查的政府信息不得公开。　　</w:t>
      </w:r>
    </w:p>
    <w:p w14:paraId="30EBDD96">
      <w:pPr>
        <w:shd w:val="clear" w:color="auto" w:fill="FFFFFF"/>
        <w:ind w:firstLine="480"/>
        <w:rPr>
          <w:szCs w:val="21"/>
        </w:rPr>
      </w:pPr>
      <w:r>
        <w:rPr>
          <w:szCs w:val="21"/>
        </w:rPr>
        <w:t>第十七条　行政机关制作或者获取的政府信息，涉及商业秘密或者个人隐私的，应当在拟公开前书面征求权利人的意见;权利人未书面同意公开的，不得公开。但是，行政机关认为不公开可能对公共利益造成重大影响的，应当予以公开，并将决定公开的内容和理由书面通知权利人。　　</w:t>
      </w:r>
    </w:p>
    <w:p w14:paraId="2EA613B4">
      <w:pPr>
        <w:shd w:val="clear" w:color="auto" w:fill="FFFFFF"/>
        <w:ind w:firstLine="480"/>
        <w:rPr>
          <w:szCs w:val="21"/>
        </w:rPr>
      </w:pPr>
      <w:r>
        <w:rPr>
          <w:szCs w:val="21"/>
        </w:rPr>
        <w:t>第十八条　行政机关拟发布的政府信息涉及其他行政机关的，应当与有关行政机关沟通、协调，经确认一致后方可发布;经沟通不能达成一致意见的，由拟发布政府信息的行政机关报请本级人民政府信息公开工作主管部门协调解决。　　</w:t>
      </w:r>
    </w:p>
    <w:p w14:paraId="1B6B43A8">
      <w:pPr>
        <w:shd w:val="clear" w:color="auto" w:fill="FFFFFF"/>
        <w:ind w:firstLine="480"/>
        <w:rPr>
          <w:szCs w:val="21"/>
        </w:rPr>
      </w:pPr>
      <w:r>
        <w:rPr>
          <w:szCs w:val="21"/>
        </w:rPr>
        <w:t>第十九条　行政机关在制作或获取政府信息的初始阶段，应当按照本办法第十六条、第十七条、第十八条的规定进行保密审查、征求有关权利人意见、沟通确认等程序，确定该政府信息是否可以公开。</w:t>
      </w:r>
    </w:p>
    <w:p w14:paraId="313AA58F">
      <w:pPr>
        <w:shd w:val="clear" w:color="auto" w:fill="FFFFFF"/>
        <w:ind w:firstLine="480"/>
        <w:rPr>
          <w:szCs w:val="21"/>
        </w:rPr>
      </w:pPr>
      <w:r>
        <w:rPr>
          <w:szCs w:val="21"/>
        </w:rPr>
        <w:t>确定为公开的政府信息，可以直接用于公开。　　</w:t>
      </w:r>
    </w:p>
    <w:p w14:paraId="23C9BF47">
      <w:pPr>
        <w:shd w:val="clear" w:color="auto" w:fill="FFFFFF"/>
        <w:ind w:firstLine="480"/>
        <w:rPr>
          <w:szCs w:val="21"/>
        </w:rPr>
      </w:pPr>
      <w:r>
        <w:rPr>
          <w:szCs w:val="21"/>
        </w:rPr>
        <w:t>第二十条　政府信息由制作或者获取该政府信息的行政机关负责公开。法律、法规另有规定的，从其规定。</w:t>
      </w:r>
    </w:p>
    <w:p w14:paraId="0FDDFAE0">
      <w:pPr>
        <w:shd w:val="clear" w:color="auto" w:fill="FFFFFF"/>
        <w:ind w:firstLine="480"/>
        <w:rPr>
          <w:szCs w:val="21"/>
        </w:rPr>
      </w:pPr>
      <w:r>
        <w:rPr>
          <w:szCs w:val="21"/>
        </w:rPr>
        <w:t>政府机构改革中未被保留或者职能被调整的行政机关制作或者获取的政府信息由继续行使其职能的行政机关负责公开。</w:t>
      </w:r>
    </w:p>
    <w:p w14:paraId="128EEB9D">
      <w:pPr>
        <w:shd w:val="clear" w:color="auto" w:fill="FFFFFF"/>
        <w:ind w:firstLine="480"/>
        <w:rPr>
          <w:szCs w:val="21"/>
        </w:rPr>
      </w:pPr>
      <w:r>
        <w:rPr>
          <w:szCs w:val="21"/>
        </w:rPr>
        <w:t>属于主动公开范围的政府信息，应当自该政府信息形成或者变更之日起20个工作日内予以公开。法律、法规对政府信息公开的期限另有规定的，从其规定。　　</w:t>
      </w:r>
    </w:p>
    <w:p w14:paraId="5D3BC6EB">
      <w:pPr>
        <w:shd w:val="clear" w:color="auto" w:fill="FFFFFF"/>
        <w:ind w:firstLine="480"/>
        <w:rPr>
          <w:szCs w:val="21"/>
        </w:rPr>
      </w:pPr>
      <w:r>
        <w:rPr>
          <w:szCs w:val="21"/>
        </w:rPr>
        <w:t>第二十一条　法律、法规对发布农产品质量安全状况、重大传染病疫情、重大动物疫情、重要地理信息数据、统计信息、地震预报等政府信息有专门规定的，按照有关法律、法规的规定执行。</w:t>
      </w:r>
    </w:p>
    <w:p w14:paraId="429B0B04">
      <w:pPr>
        <w:shd w:val="clear" w:color="auto" w:fill="FFFFFF"/>
        <w:ind w:firstLine="480"/>
        <w:rPr>
          <w:sz w:val="28"/>
          <w:szCs w:val="28"/>
        </w:rPr>
      </w:pPr>
    </w:p>
    <w:p w14:paraId="78138BED">
      <w:r>
        <w:rPr>
          <w:rFonts w:hint="eastAsia"/>
        </w:rPr>
        <w:t>第三章 依申请公开</w:t>
      </w:r>
    </w:p>
    <w:p w14:paraId="76B8C8E5">
      <w:pPr>
        <w:shd w:val="clear" w:color="auto" w:fill="FFFFFF"/>
        <w:ind w:firstLine="480"/>
        <w:rPr>
          <w:szCs w:val="21"/>
        </w:rPr>
      </w:pPr>
    </w:p>
    <w:p w14:paraId="70451984">
      <w:pPr>
        <w:shd w:val="clear" w:color="auto" w:fill="FFFFFF"/>
        <w:ind w:firstLine="480"/>
        <w:rPr>
          <w:rFonts w:ascii="宋体" w:hAnsi="宋体"/>
          <w:szCs w:val="21"/>
        </w:rPr>
      </w:pPr>
      <w:bookmarkStart w:id="10" w:name="第三章_依申请公开"/>
      <w:bookmarkEnd w:id="10"/>
      <w:r>
        <w:rPr>
          <w:szCs w:val="21"/>
        </w:rPr>
        <w:t>第二十二条　行政机关应当利用政务服务中心、本机关网站和设立专门的接待窗口等场所和设施，及时处理政府信息公开申请，为申请人获取政府信息提供便利。</w:t>
      </w:r>
    </w:p>
    <w:p w14:paraId="4713AB01">
      <w:pPr>
        <w:shd w:val="clear" w:color="auto" w:fill="FFFFFF"/>
        <w:ind w:firstLine="480"/>
        <w:rPr>
          <w:szCs w:val="21"/>
        </w:rPr>
      </w:pPr>
      <w:r>
        <w:rPr>
          <w:szCs w:val="21"/>
        </w:rPr>
        <w:t>行政机关应当公布政府信息申请书式样，方便申请人免费获取。　　</w:t>
      </w:r>
    </w:p>
    <w:p w14:paraId="7F3546F4">
      <w:pPr>
        <w:shd w:val="clear" w:color="auto" w:fill="FFFFFF"/>
        <w:ind w:firstLine="480"/>
        <w:rPr>
          <w:szCs w:val="21"/>
        </w:rPr>
      </w:pPr>
      <w:r>
        <w:rPr>
          <w:szCs w:val="21"/>
        </w:rPr>
        <w:t>第二十三条　申请人申请公开政府信息，可以通过下列方式进行，并按下列规定计算受理时间:</w:t>
      </w:r>
    </w:p>
    <w:p w14:paraId="3493F428">
      <w:pPr>
        <w:shd w:val="clear" w:color="auto" w:fill="FFFFFF"/>
        <w:ind w:firstLine="480"/>
        <w:rPr>
          <w:szCs w:val="21"/>
        </w:rPr>
      </w:pPr>
      <w:r>
        <w:rPr>
          <w:szCs w:val="21"/>
        </w:rPr>
        <w:t>(一)通过互联网申请的，应当提交按规定格式填写的申请表和本人有效身份证件的图片电子文件。受理申请时间自受理申请的电子邮箱收到邮件或成功提交其他电子申请的时间起计算。</w:t>
      </w:r>
    </w:p>
    <w:p w14:paraId="3C5DC0A6">
      <w:pPr>
        <w:shd w:val="clear" w:color="auto" w:fill="FFFFFF"/>
        <w:ind w:firstLine="480"/>
        <w:rPr>
          <w:szCs w:val="21"/>
        </w:rPr>
      </w:pPr>
      <w:r>
        <w:rPr>
          <w:szCs w:val="21"/>
        </w:rPr>
        <w:t>(二)通过信函、电报、传真等形式申请的，应当提交按规定格式填写的申请表和本人有效身份证件的复印件。受理申请时间自行政机关收到信函、电报、传真的时间起计算。</w:t>
      </w:r>
    </w:p>
    <w:p w14:paraId="5A4E5480">
      <w:pPr>
        <w:shd w:val="clear" w:color="auto" w:fill="FFFFFF"/>
        <w:ind w:firstLine="480"/>
        <w:rPr>
          <w:szCs w:val="21"/>
        </w:rPr>
      </w:pPr>
      <w:r>
        <w:rPr>
          <w:szCs w:val="21"/>
        </w:rPr>
        <w:t>(三)当场申请的，应当提交按规定格式填写的申请表和本人有效身份证件的复印件。受理申请时间自收到申请书的时间起计算。</w:t>
      </w:r>
    </w:p>
    <w:p w14:paraId="307DAFAA">
      <w:pPr>
        <w:shd w:val="clear" w:color="auto" w:fill="FFFFFF"/>
        <w:ind w:firstLine="480"/>
        <w:rPr>
          <w:szCs w:val="21"/>
        </w:rPr>
      </w:pPr>
      <w:r>
        <w:rPr>
          <w:szCs w:val="21"/>
        </w:rPr>
        <w:t>申请人提交书面申请书确有困难的，可以口头提出，由受理该申请的行政机关代为填写申请表，交申请人确认。受理申请时间自申请人确认的时间起计算。</w:t>
      </w:r>
    </w:p>
    <w:p w14:paraId="6E7619EA">
      <w:pPr>
        <w:shd w:val="clear" w:color="auto" w:fill="FFFFFF"/>
        <w:ind w:firstLine="480"/>
        <w:rPr>
          <w:szCs w:val="21"/>
        </w:rPr>
      </w:pPr>
      <w:r>
        <w:rPr>
          <w:szCs w:val="21"/>
        </w:rPr>
        <w:t>一个政府信息公开申请只能对应一个政府信息项目。　　</w:t>
      </w:r>
    </w:p>
    <w:p w14:paraId="654B2DD1">
      <w:pPr>
        <w:shd w:val="clear" w:color="auto" w:fill="FFFFFF"/>
        <w:ind w:firstLine="480"/>
        <w:rPr>
          <w:szCs w:val="21"/>
        </w:rPr>
      </w:pPr>
      <w:r>
        <w:rPr>
          <w:szCs w:val="21"/>
        </w:rPr>
        <w:t>第二十四条　行政机关收到政府信息公开申请，应当及时登记审查，并按下列规定处理:</w:t>
      </w:r>
    </w:p>
    <w:p w14:paraId="6DAF6C38">
      <w:pPr>
        <w:shd w:val="clear" w:color="auto" w:fill="FFFFFF"/>
        <w:ind w:firstLine="480"/>
        <w:rPr>
          <w:szCs w:val="21"/>
        </w:rPr>
      </w:pPr>
      <w:r>
        <w:rPr>
          <w:szCs w:val="21"/>
        </w:rPr>
        <w:t>(一)申请公开与本人或者本单位生产、生活、科研等特殊需要有关的政府信息并提交有效身份证件或者证明文件的，行政机关应当予以受理并留存有效身份证件或者证明文件的复印件或者图片文件;</w:t>
      </w:r>
    </w:p>
    <w:p w14:paraId="13D0F7FD">
      <w:pPr>
        <w:shd w:val="clear" w:color="auto" w:fill="FFFFFF"/>
        <w:ind w:firstLine="480"/>
        <w:rPr>
          <w:szCs w:val="21"/>
        </w:rPr>
      </w:pPr>
      <w:r>
        <w:rPr>
          <w:szCs w:val="21"/>
        </w:rPr>
        <w:t>(二)申请公开与本人或者本单位生产、生活、科研等特殊需要无关的政府信息的，或者不提供有效身份证件或者证明文件的，或者申请人的委托代理人不提供申请人、代理人有效身份证件及授权委托书的，不予受理。行政机关应当将不予受理的情况登记保存，并书面告知申请人;</w:t>
      </w:r>
    </w:p>
    <w:p w14:paraId="06CB4142">
      <w:pPr>
        <w:shd w:val="clear" w:color="auto" w:fill="FFFFFF"/>
        <w:ind w:firstLine="480"/>
        <w:rPr>
          <w:szCs w:val="21"/>
        </w:rPr>
      </w:pPr>
      <w:r>
        <w:rPr>
          <w:szCs w:val="21"/>
        </w:rPr>
        <w:t>(三)申请内容不明确的，应当在5日内一次性告知申请人在规定期限内更改或者补充;申请人无正当理由逾期不更改或者补充的，视为放弃申请。申请人进行更改、补充的，受理申请时间自申请人提交更改、补充材料的时间起计算。</w:t>
      </w:r>
    </w:p>
    <w:p w14:paraId="33337C7C">
      <w:pPr>
        <w:shd w:val="clear" w:color="auto" w:fill="FFFFFF"/>
        <w:ind w:firstLine="480"/>
        <w:rPr>
          <w:szCs w:val="21"/>
        </w:rPr>
      </w:pPr>
      <w:r>
        <w:rPr>
          <w:szCs w:val="21"/>
        </w:rPr>
        <w:t>行政机关受理政府信息公开申请的，应当向申请人出具受理凭证。　　</w:t>
      </w:r>
    </w:p>
    <w:p w14:paraId="00FDDC1C">
      <w:pPr>
        <w:shd w:val="clear" w:color="auto" w:fill="FFFFFF"/>
        <w:ind w:firstLine="480"/>
        <w:rPr>
          <w:szCs w:val="21"/>
        </w:rPr>
      </w:pPr>
      <w:r>
        <w:rPr>
          <w:szCs w:val="21"/>
        </w:rPr>
        <w:t>第二十五条　对受理的申请，能够当场答复的，应当当场答复;不能当场答复的，按照下列规定在法定期限内办理:</w:t>
      </w:r>
    </w:p>
    <w:p w14:paraId="055CCF8C">
      <w:pPr>
        <w:shd w:val="clear" w:color="auto" w:fill="FFFFFF"/>
        <w:ind w:firstLine="480"/>
        <w:rPr>
          <w:szCs w:val="21"/>
        </w:rPr>
      </w:pPr>
      <w:r>
        <w:rPr>
          <w:szCs w:val="21"/>
        </w:rPr>
        <w:t>(一)已经公开的，告知申请人获取该政府信息的方式和途径或者予以提供;</w:t>
      </w:r>
    </w:p>
    <w:p w14:paraId="4A44A6D2">
      <w:pPr>
        <w:shd w:val="clear" w:color="auto" w:fill="FFFFFF"/>
        <w:ind w:firstLine="480"/>
        <w:rPr>
          <w:szCs w:val="21"/>
        </w:rPr>
      </w:pPr>
      <w:r>
        <w:rPr>
          <w:szCs w:val="21"/>
        </w:rPr>
        <w:t>(二)可以提供的，向申请人提供;</w:t>
      </w:r>
    </w:p>
    <w:p w14:paraId="0AAC7AAB">
      <w:pPr>
        <w:shd w:val="clear" w:color="auto" w:fill="FFFFFF"/>
        <w:ind w:firstLine="480"/>
        <w:rPr>
          <w:szCs w:val="21"/>
        </w:rPr>
      </w:pPr>
      <w:r>
        <w:rPr>
          <w:szCs w:val="21"/>
        </w:rPr>
        <w:t>(三)属于不予公开范围的，书面告知申请人不予提供的理由;</w:t>
      </w:r>
    </w:p>
    <w:p w14:paraId="0D830328">
      <w:pPr>
        <w:shd w:val="clear" w:color="auto" w:fill="FFFFFF"/>
        <w:ind w:firstLine="480"/>
        <w:rPr>
          <w:szCs w:val="21"/>
        </w:rPr>
      </w:pPr>
      <w:r>
        <w:rPr>
          <w:szCs w:val="21"/>
        </w:rPr>
        <w:t>(四)不属于本机关公开的信息或者该政府信息不存在的，书面告知申请人不能提供的理由;能够确定负责公开该政府信息的机关的，告知申请人该公开机关的名称、联系方式;</w:t>
      </w:r>
    </w:p>
    <w:p w14:paraId="40F2BA1E">
      <w:pPr>
        <w:shd w:val="clear" w:color="auto" w:fill="FFFFFF"/>
        <w:ind w:firstLine="480"/>
        <w:rPr>
          <w:szCs w:val="21"/>
        </w:rPr>
      </w:pPr>
      <w:r>
        <w:rPr>
          <w:szCs w:val="21"/>
        </w:rPr>
        <w:t>(五)同一申请人向同一行政机关就同一内容反复提出公开申请的，行政机关可以不重复答复。</w:t>
      </w:r>
    </w:p>
    <w:p w14:paraId="5D10F270">
      <w:pPr>
        <w:shd w:val="clear" w:color="auto" w:fill="FFFFFF"/>
        <w:ind w:firstLine="480"/>
        <w:rPr>
          <w:szCs w:val="21"/>
        </w:rPr>
      </w:pPr>
      <w:r>
        <w:rPr>
          <w:szCs w:val="21"/>
        </w:rPr>
        <w:t>行政机关一般不承担为申请人汇总、加工、搜集或者重新制作政府信息的义务。　　</w:t>
      </w:r>
    </w:p>
    <w:p w14:paraId="52153DA3">
      <w:pPr>
        <w:shd w:val="clear" w:color="auto" w:fill="FFFFFF"/>
        <w:ind w:firstLine="480"/>
        <w:rPr>
          <w:szCs w:val="21"/>
        </w:rPr>
      </w:pPr>
      <w:r>
        <w:rPr>
          <w:szCs w:val="21"/>
        </w:rPr>
        <w:t>第二十六条　下列政府信息不得向申请人提供:</w:t>
      </w:r>
    </w:p>
    <w:p w14:paraId="2C264F7A">
      <w:pPr>
        <w:shd w:val="clear" w:color="auto" w:fill="FFFFFF"/>
        <w:ind w:firstLine="480"/>
        <w:rPr>
          <w:szCs w:val="21"/>
        </w:rPr>
      </w:pPr>
      <w:r>
        <w:rPr>
          <w:szCs w:val="21"/>
        </w:rPr>
        <w:t>(一)涉及国家秘密或者公开后可能导致国家秘密被泄露或者会危及国家安全、公共安全、经济安全和社会稳定的信息;</w:t>
      </w:r>
    </w:p>
    <w:p w14:paraId="7B406B7D">
      <w:pPr>
        <w:shd w:val="clear" w:color="auto" w:fill="FFFFFF"/>
        <w:ind w:firstLine="480"/>
        <w:rPr>
          <w:szCs w:val="21"/>
        </w:rPr>
      </w:pPr>
      <w:r>
        <w:rPr>
          <w:szCs w:val="21"/>
        </w:rPr>
        <w:t>(二)涉及商业秘密或者公开后可能导致商业秘密被泄露的信息;</w:t>
      </w:r>
    </w:p>
    <w:p w14:paraId="09E41AF3">
      <w:pPr>
        <w:shd w:val="clear" w:color="auto" w:fill="FFFFFF"/>
        <w:ind w:firstLine="480"/>
        <w:rPr>
          <w:szCs w:val="21"/>
        </w:rPr>
      </w:pPr>
      <w:r>
        <w:rPr>
          <w:szCs w:val="21"/>
        </w:rPr>
        <w:t>(三)涉及个人隐私或者公开后可能导致个人合法权益受损害的信息;</w:t>
      </w:r>
    </w:p>
    <w:p w14:paraId="1E19B2FA">
      <w:pPr>
        <w:shd w:val="clear" w:color="auto" w:fill="FFFFFF"/>
        <w:ind w:firstLine="480"/>
        <w:rPr>
          <w:szCs w:val="21"/>
        </w:rPr>
      </w:pPr>
      <w:r>
        <w:rPr>
          <w:szCs w:val="21"/>
        </w:rPr>
        <w:t>(四)涉及工作秘密的信息;</w:t>
      </w:r>
    </w:p>
    <w:p w14:paraId="2243FB0F">
      <w:pPr>
        <w:shd w:val="clear" w:color="auto" w:fill="FFFFFF"/>
        <w:ind w:firstLine="480"/>
        <w:rPr>
          <w:szCs w:val="21"/>
        </w:rPr>
      </w:pPr>
      <w:r>
        <w:rPr>
          <w:szCs w:val="21"/>
        </w:rPr>
        <w:t>(五)法律、法规、规章规定不予公开的其他政府信息。</w:t>
      </w:r>
    </w:p>
    <w:p w14:paraId="7F3A9688">
      <w:pPr>
        <w:shd w:val="clear" w:color="auto" w:fill="FFFFFF"/>
        <w:ind w:firstLine="480"/>
        <w:rPr>
          <w:szCs w:val="21"/>
        </w:rPr>
      </w:pPr>
      <w:r>
        <w:rPr>
          <w:szCs w:val="21"/>
        </w:rPr>
        <w:t>前款(二)、(三)项规定的政府信息，需要公开的，按照本办法第十七条规定处理。申请公开的政府信息涉及第三方权益的，行政机关征求第三方意见所需时间不计算在规定答复的期限内。　　</w:t>
      </w:r>
    </w:p>
    <w:p w14:paraId="28596B4A">
      <w:pPr>
        <w:shd w:val="clear" w:color="auto" w:fill="FFFFFF"/>
        <w:ind w:firstLine="480"/>
        <w:rPr>
          <w:szCs w:val="21"/>
        </w:rPr>
      </w:pPr>
      <w:r>
        <w:rPr>
          <w:szCs w:val="21"/>
        </w:rPr>
        <w:t>第二十七条　政府信息公开申请的答复应当按照申请人要求的载体和形式予以提供;无法按照申请人要求的载体和形式提供的，可以采用安排申请人查阅相关资料等方式提供。</w:t>
      </w:r>
    </w:p>
    <w:p w14:paraId="6064DEC2">
      <w:pPr>
        <w:shd w:val="clear" w:color="auto" w:fill="FFFFFF"/>
        <w:ind w:firstLine="480"/>
        <w:rPr>
          <w:szCs w:val="21"/>
        </w:rPr>
      </w:pPr>
      <w:r>
        <w:rPr>
          <w:szCs w:val="21"/>
        </w:rPr>
        <w:t>申请公开政府信息的公民存在阅读困难或者视听障碍的，行政机关应当为其提供必要的帮助。　　</w:t>
      </w:r>
    </w:p>
    <w:p w14:paraId="73453781">
      <w:pPr>
        <w:shd w:val="clear" w:color="auto" w:fill="FFFFFF"/>
        <w:ind w:firstLine="480"/>
        <w:rPr>
          <w:szCs w:val="21"/>
        </w:rPr>
      </w:pPr>
      <w:r>
        <w:rPr>
          <w:szCs w:val="21"/>
        </w:rPr>
        <w:t>第二十八条　行政机关依申请提供政府信息，可以依法收取检索、复制、邮寄等成本费用外，不得超越自治区财政、物价部门规定的收费范围、标准和方式向申请人收取其他任何费用，也不得要求申请人通过其他组织、个人以有偿方式获取政府信息。　　</w:t>
      </w:r>
    </w:p>
    <w:p w14:paraId="03F3705E">
      <w:pPr>
        <w:shd w:val="clear" w:color="auto" w:fill="FFFFFF"/>
        <w:ind w:firstLine="480"/>
        <w:rPr>
          <w:szCs w:val="21"/>
        </w:rPr>
      </w:pPr>
      <w:r>
        <w:rPr>
          <w:szCs w:val="21"/>
        </w:rPr>
        <w:t>第二十九条　申请公开政府信息的公民经济困难，有下列情形之一的，经本人申请、政府信息公开工作机构负责人审核同意，受理申请的行政机关应当减免相关费用:</w:t>
      </w:r>
    </w:p>
    <w:p w14:paraId="3F0AC057">
      <w:pPr>
        <w:shd w:val="clear" w:color="auto" w:fill="FFFFFF"/>
        <w:ind w:firstLine="480"/>
        <w:rPr>
          <w:szCs w:val="21"/>
        </w:rPr>
      </w:pPr>
      <w:r>
        <w:rPr>
          <w:szCs w:val="21"/>
        </w:rPr>
        <w:t>(一)领取最低生活保障金的;</w:t>
      </w:r>
    </w:p>
    <w:p w14:paraId="3030EF9B">
      <w:pPr>
        <w:shd w:val="clear" w:color="auto" w:fill="FFFFFF"/>
        <w:ind w:firstLine="480"/>
        <w:rPr>
          <w:szCs w:val="21"/>
        </w:rPr>
      </w:pPr>
      <w:r>
        <w:rPr>
          <w:szCs w:val="21"/>
        </w:rPr>
        <w:t>(二)社会福利机构和救助管理站供养的;</w:t>
      </w:r>
    </w:p>
    <w:p w14:paraId="44C1E090">
      <w:pPr>
        <w:shd w:val="clear" w:color="auto" w:fill="FFFFFF"/>
        <w:ind w:firstLine="480"/>
        <w:rPr>
          <w:szCs w:val="21"/>
        </w:rPr>
      </w:pPr>
      <w:r>
        <w:rPr>
          <w:szCs w:val="21"/>
        </w:rPr>
        <w:t>(三)农村五保供养的;</w:t>
      </w:r>
    </w:p>
    <w:p w14:paraId="4CDBC3EC">
      <w:pPr>
        <w:shd w:val="clear" w:color="auto" w:fill="FFFFFF"/>
        <w:ind w:firstLine="480"/>
        <w:rPr>
          <w:szCs w:val="21"/>
        </w:rPr>
      </w:pPr>
      <w:r>
        <w:rPr>
          <w:szCs w:val="21"/>
        </w:rPr>
        <w:t>(四)领取失业保险金的;</w:t>
      </w:r>
    </w:p>
    <w:p w14:paraId="67D77BAC">
      <w:pPr>
        <w:shd w:val="clear" w:color="auto" w:fill="FFFFFF"/>
        <w:ind w:firstLine="480"/>
        <w:rPr>
          <w:szCs w:val="21"/>
        </w:rPr>
      </w:pPr>
      <w:r>
        <w:rPr>
          <w:szCs w:val="21"/>
        </w:rPr>
        <w:t>(五)因残疾、严重疾病、自然灾害或者其他原因造成经济困难，正在接受救济的;</w:t>
      </w:r>
    </w:p>
    <w:p w14:paraId="271931EA">
      <w:pPr>
        <w:shd w:val="clear" w:color="auto" w:fill="FFFFFF"/>
        <w:ind w:firstLine="480"/>
        <w:rPr>
          <w:szCs w:val="21"/>
        </w:rPr>
      </w:pPr>
      <w:r>
        <w:rPr>
          <w:szCs w:val="21"/>
        </w:rPr>
        <w:t>(六)其他经所在乡(镇)人民政府或者街道办事处证明，实际生活水平低于城乡居民最低生活保障标准的。　　</w:t>
      </w:r>
    </w:p>
    <w:p w14:paraId="2D6FC9AA">
      <w:pPr>
        <w:shd w:val="clear" w:color="auto" w:fill="FFFFFF"/>
        <w:ind w:firstLine="480"/>
        <w:rPr>
          <w:szCs w:val="21"/>
        </w:rPr>
      </w:pPr>
      <w:r>
        <w:rPr>
          <w:szCs w:val="21"/>
        </w:rPr>
        <w:t>第三十条　公民、法人或者其他组织有证据证明行政机关提供的与自身相关的政府信息记录不准确的，有权要求该行政机关予以更正;该行政机关无权更正的，应当转送有权更正的行政机关处理。行政机关不更正与申请人自身有关的政府信息的，应当书面告知申请人理由。</w:t>
      </w:r>
    </w:p>
    <w:p w14:paraId="380C08AB">
      <w:pPr>
        <w:shd w:val="clear" w:color="auto" w:fill="FFFFFF"/>
        <w:ind w:firstLine="480"/>
        <w:rPr>
          <w:szCs w:val="21"/>
        </w:rPr>
      </w:pPr>
      <w:r>
        <w:rPr>
          <w:szCs w:val="21"/>
        </w:rPr>
        <w:t>对公民、法人或者其他组织的更正申请，行政机关应当当场处理;不能当场处理的，最迟不得超过10个工作日处理，并书面告知申请人。</w:t>
      </w:r>
    </w:p>
    <w:p w14:paraId="19F734E8">
      <w:pPr>
        <w:shd w:val="clear" w:color="auto" w:fill="FFFFFF"/>
        <w:ind w:firstLine="480"/>
        <w:rPr>
          <w:szCs w:val="21"/>
        </w:rPr>
      </w:pPr>
    </w:p>
    <w:p w14:paraId="71488985">
      <w:bookmarkStart w:id="11" w:name="第四章_监督和保障"/>
      <w:bookmarkEnd w:id="11"/>
      <w:r>
        <w:rPr>
          <w:rFonts w:hint="eastAsia"/>
        </w:rPr>
        <w:t>第四章 监督和保障</w:t>
      </w:r>
    </w:p>
    <w:p w14:paraId="006FF43F">
      <w:pPr>
        <w:shd w:val="clear" w:color="auto" w:fill="FFFFFF"/>
        <w:ind w:firstLine="480"/>
        <w:rPr>
          <w:szCs w:val="21"/>
        </w:rPr>
      </w:pPr>
    </w:p>
    <w:p w14:paraId="596288EB">
      <w:pPr>
        <w:shd w:val="clear" w:color="auto" w:fill="FFFFFF"/>
        <w:ind w:firstLine="480"/>
        <w:rPr>
          <w:rFonts w:ascii="宋体" w:hAnsi="宋体"/>
          <w:szCs w:val="21"/>
        </w:rPr>
      </w:pPr>
      <w:r>
        <w:rPr>
          <w:szCs w:val="21"/>
        </w:rPr>
        <w:t>第三十一条　县级以上人民政府办公厅(室)和行政监察机关应当对行政机关政府信息公开工作情况进行监督检查，并将掌握的有关政府信息公开工作情况定期通报。　　</w:t>
      </w:r>
    </w:p>
    <w:p w14:paraId="1B81ADAC">
      <w:pPr>
        <w:shd w:val="clear" w:color="auto" w:fill="FFFFFF"/>
        <w:ind w:firstLine="480"/>
        <w:rPr>
          <w:szCs w:val="21"/>
        </w:rPr>
      </w:pPr>
      <w:r>
        <w:rPr>
          <w:szCs w:val="21"/>
        </w:rPr>
        <w:t>第三十二条　县级以上人民政府应当对本级政府部门和下一级政府的政府信息公开工作进行考核。具体考核工作由县级以上人民政府办公厅(室)组织本级政府监察、信息化管理、人事、保密等部门和政府法制工作机构实施。</w:t>
      </w:r>
    </w:p>
    <w:p w14:paraId="56952683">
      <w:pPr>
        <w:shd w:val="clear" w:color="auto" w:fill="FFFFFF"/>
        <w:ind w:firstLine="480"/>
        <w:rPr>
          <w:szCs w:val="21"/>
        </w:rPr>
      </w:pPr>
      <w:r>
        <w:rPr>
          <w:szCs w:val="21"/>
        </w:rPr>
        <w:t>考核工作应当结合行政机关政府信息公开工作被投诉举报的调查处理情况、被申请行政复议或者提起行政诉讼情况、检查通报和社会评议情况进行。</w:t>
      </w:r>
    </w:p>
    <w:p w14:paraId="0B5169B7">
      <w:pPr>
        <w:shd w:val="clear" w:color="auto" w:fill="FFFFFF"/>
        <w:ind w:firstLine="480"/>
        <w:rPr>
          <w:szCs w:val="21"/>
        </w:rPr>
      </w:pPr>
      <w:r>
        <w:rPr>
          <w:szCs w:val="21"/>
        </w:rPr>
        <w:t>考核结果应当作为对行政机关绩效考核的依据之一，并予以公布。</w:t>
      </w:r>
    </w:p>
    <w:p w14:paraId="082AE311">
      <w:pPr>
        <w:shd w:val="clear" w:color="auto" w:fill="FFFFFF"/>
        <w:ind w:firstLine="480"/>
        <w:rPr>
          <w:szCs w:val="21"/>
        </w:rPr>
      </w:pPr>
      <w:r>
        <w:rPr>
          <w:szCs w:val="21"/>
        </w:rPr>
        <w:t>行政机关参照前款规定对本机关政府信息公开工作机构进行考核。　　</w:t>
      </w:r>
    </w:p>
    <w:p w14:paraId="06507B03">
      <w:pPr>
        <w:shd w:val="clear" w:color="auto" w:fill="FFFFFF"/>
        <w:ind w:firstLine="480"/>
        <w:rPr>
          <w:szCs w:val="21"/>
        </w:rPr>
      </w:pPr>
      <w:r>
        <w:rPr>
          <w:szCs w:val="21"/>
        </w:rPr>
        <w:t>第三十三条　行政机关应当于每年3月31日前将本机关上年度政府信息公开工作年度报告在本机关网站或者媒体上向社会公布。尚未建立网站的，应当在县级以上人民政府网站或者媒体上公布。　　</w:t>
      </w:r>
    </w:p>
    <w:p w14:paraId="48394929">
      <w:pPr>
        <w:shd w:val="clear" w:color="auto" w:fill="FFFFFF"/>
        <w:ind w:firstLine="480"/>
        <w:rPr>
          <w:szCs w:val="21"/>
        </w:rPr>
      </w:pPr>
      <w:r>
        <w:rPr>
          <w:szCs w:val="21"/>
        </w:rPr>
        <w:t>第三十四条　公民、法人或者其他组织认为行政机关不依法履行政府信息公开义务的，可以向上级行政机关、监察机关或者政府信息公开工作主管部门举报，收到举报的机关应当在20个工作日内调查处理并书面答复举报人。　　</w:t>
      </w:r>
    </w:p>
    <w:p w14:paraId="434C48F9">
      <w:pPr>
        <w:shd w:val="clear" w:color="auto" w:fill="FFFFFF"/>
        <w:ind w:firstLine="480"/>
        <w:rPr>
          <w:szCs w:val="21"/>
        </w:rPr>
      </w:pPr>
      <w:r>
        <w:rPr>
          <w:szCs w:val="21"/>
        </w:rPr>
        <w:t>第三十五条　公民、法人和其他组织认为在政府信息公开工作中的具体行政行为侵犯其合法权益的，可以依法申请行政复议或者提起行政诉讼。　　</w:t>
      </w:r>
    </w:p>
    <w:p w14:paraId="3C77597D">
      <w:pPr>
        <w:shd w:val="clear" w:color="auto" w:fill="FFFFFF"/>
        <w:ind w:firstLine="480"/>
        <w:rPr>
          <w:szCs w:val="21"/>
        </w:rPr>
      </w:pPr>
      <w:r>
        <w:rPr>
          <w:szCs w:val="21"/>
        </w:rPr>
        <w:t>第三十六条　行政机关及其工作人员违反本办法有关规定的，依照《条例》第三十四条、第三十五条规定追究其责任。</w:t>
      </w:r>
    </w:p>
    <w:p w14:paraId="2623584B">
      <w:pPr>
        <w:shd w:val="clear" w:color="auto" w:fill="FFFFFF"/>
        <w:ind w:firstLine="480"/>
        <w:rPr>
          <w:szCs w:val="21"/>
        </w:rPr>
      </w:pPr>
    </w:p>
    <w:p w14:paraId="540C0657">
      <w:bookmarkStart w:id="12" w:name="第五章_附则"/>
      <w:bookmarkEnd w:id="12"/>
      <w:r>
        <w:rPr>
          <w:rFonts w:hint="eastAsia"/>
        </w:rPr>
        <w:t>第五章 附则</w:t>
      </w:r>
    </w:p>
    <w:p w14:paraId="087ED392">
      <w:pPr>
        <w:shd w:val="clear" w:color="auto" w:fill="FFFFFF"/>
        <w:ind w:firstLine="480"/>
        <w:rPr>
          <w:szCs w:val="21"/>
        </w:rPr>
      </w:pPr>
    </w:p>
    <w:p w14:paraId="32A79FA8">
      <w:pPr>
        <w:shd w:val="clear" w:color="auto" w:fill="FFFFFF"/>
        <w:ind w:firstLine="480"/>
        <w:rPr>
          <w:rFonts w:ascii="宋体" w:hAnsi="宋体"/>
          <w:szCs w:val="21"/>
        </w:rPr>
      </w:pPr>
      <w:r>
        <w:rPr>
          <w:szCs w:val="21"/>
        </w:rPr>
        <w:t>第三十七条　法律、法规授权的具有管理公共事务职能的组织公开政府信息的活动，适用本办法。　　</w:t>
      </w:r>
    </w:p>
    <w:p w14:paraId="58255B4B">
      <w:pPr>
        <w:shd w:val="clear" w:color="auto" w:fill="FFFFFF"/>
        <w:ind w:firstLine="480"/>
        <w:rPr>
          <w:szCs w:val="21"/>
        </w:rPr>
      </w:pPr>
      <w:r>
        <w:rPr>
          <w:szCs w:val="21"/>
        </w:rPr>
        <w:t>第三十八条　教育、医疗卫生、计划生育、供水、供电、供气、供热、环保、公共交通等与人民群众利益密切相关的公共企事业单位在提供社会公共服务过程中制作、获取的信息的公开，参照本办法执行。　　</w:t>
      </w:r>
    </w:p>
    <w:p w14:paraId="21747118">
      <w:pPr>
        <w:shd w:val="clear" w:color="auto" w:fill="FFFFFF"/>
        <w:ind w:firstLine="480"/>
        <w:rPr>
          <w:szCs w:val="21"/>
        </w:rPr>
      </w:pPr>
      <w:r>
        <w:rPr>
          <w:szCs w:val="21"/>
        </w:rPr>
        <w:t>第三十九条　本办法自2010年7月1日起施行。</w:t>
      </w:r>
    </w:p>
    <w:p w14:paraId="002F248E">
      <w:pPr>
        <w:tabs>
          <w:tab w:val="left" w:pos="1120"/>
        </w:tabs>
        <w:jc w:val="center"/>
        <w:rPr>
          <w:rFonts w:ascii="宋体" w:hAnsi="宋体"/>
          <w:szCs w:val="21"/>
          <w:u w:val="single"/>
        </w:rPr>
      </w:pPr>
    </w:p>
    <w:p w14:paraId="59FCBEAA">
      <w:pPr>
        <w:tabs>
          <w:tab w:val="left" w:pos="1120"/>
        </w:tabs>
        <w:jc w:val="center"/>
        <w:rPr>
          <w:rFonts w:ascii="宋体" w:hAnsi="宋体"/>
          <w:szCs w:val="21"/>
          <w:u w:val="single"/>
        </w:rPr>
      </w:pPr>
    </w:p>
    <w:p w14:paraId="11787A6C">
      <w:pPr>
        <w:tabs>
          <w:tab w:val="left" w:pos="1120"/>
        </w:tabs>
        <w:jc w:val="center"/>
        <w:rPr>
          <w:rFonts w:ascii="宋体" w:hAnsi="宋体"/>
          <w:szCs w:val="21"/>
          <w:u w:val="single"/>
        </w:rPr>
      </w:pPr>
    </w:p>
    <w:p w14:paraId="1BA3A902">
      <w:pPr>
        <w:tabs>
          <w:tab w:val="left" w:pos="1120"/>
        </w:tabs>
        <w:jc w:val="center"/>
        <w:rPr>
          <w:rFonts w:ascii="宋体" w:hAnsi="宋体"/>
          <w:szCs w:val="21"/>
          <w:u w:val="single"/>
        </w:rPr>
      </w:pPr>
    </w:p>
    <w:p w14:paraId="1439CDC1">
      <w:pPr>
        <w:tabs>
          <w:tab w:val="left" w:pos="1120"/>
        </w:tabs>
        <w:jc w:val="center"/>
        <w:rPr>
          <w:rFonts w:ascii="宋体" w:hAnsi="宋体"/>
          <w:szCs w:val="21"/>
          <w:u w:val="single"/>
        </w:rPr>
      </w:pPr>
    </w:p>
    <w:p w14:paraId="667C1ED0">
      <w:pPr>
        <w:tabs>
          <w:tab w:val="left" w:pos="1120"/>
        </w:tabs>
        <w:jc w:val="center"/>
        <w:rPr>
          <w:rFonts w:ascii="宋体" w:hAnsi="宋体"/>
          <w:szCs w:val="21"/>
          <w:u w:val="single"/>
        </w:rPr>
      </w:pPr>
    </w:p>
    <w:p w14:paraId="3553BFB3">
      <w:pPr>
        <w:tabs>
          <w:tab w:val="left" w:pos="1120"/>
        </w:tabs>
        <w:jc w:val="center"/>
        <w:rPr>
          <w:rFonts w:ascii="宋体" w:hAnsi="宋体"/>
          <w:szCs w:val="21"/>
          <w:u w:val="single"/>
        </w:rPr>
      </w:pPr>
    </w:p>
    <w:p w14:paraId="1091F7EE">
      <w:pPr>
        <w:tabs>
          <w:tab w:val="left" w:pos="1120"/>
        </w:tabs>
        <w:jc w:val="center"/>
        <w:rPr>
          <w:rFonts w:ascii="宋体" w:hAnsi="宋体"/>
          <w:szCs w:val="21"/>
          <w:u w:val="single"/>
        </w:rPr>
      </w:pPr>
    </w:p>
    <w:p w14:paraId="6605FBFE">
      <w:pPr>
        <w:tabs>
          <w:tab w:val="left" w:pos="1120"/>
        </w:tabs>
        <w:jc w:val="center"/>
        <w:rPr>
          <w:rFonts w:ascii="宋体" w:hAnsi="宋体"/>
          <w:szCs w:val="21"/>
          <w:u w:val="single"/>
        </w:rPr>
      </w:pPr>
    </w:p>
    <w:p w14:paraId="130BE894">
      <w:pPr>
        <w:tabs>
          <w:tab w:val="left" w:pos="1120"/>
        </w:tabs>
        <w:jc w:val="center"/>
        <w:rPr>
          <w:rFonts w:ascii="宋体" w:hAnsi="宋体"/>
          <w:szCs w:val="21"/>
          <w:u w:val="single"/>
        </w:rPr>
      </w:pPr>
    </w:p>
    <w:p w14:paraId="6C3AF5E2">
      <w:pPr>
        <w:tabs>
          <w:tab w:val="left" w:pos="1120"/>
        </w:tabs>
        <w:jc w:val="center"/>
        <w:rPr>
          <w:rFonts w:ascii="宋体" w:hAnsi="宋体"/>
          <w:szCs w:val="21"/>
          <w:u w:val="single"/>
        </w:rPr>
      </w:pPr>
    </w:p>
    <w:p w14:paraId="167E0777">
      <w:pPr>
        <w:tabs>
          <w:tab w:val="left" w:pos="1120"/>
        </w:tabs>
        <w:jc w:val="center"/>
        <w:rPr>
          <w:rFonts w:ascii="宋体" w:hAnsi="宋体"/>
          <w:szCs w:val="21"/>
          <w:u w:val="single"/>
        </w:rPr>
      </w:pPr>
    </w:p>
    <w:p w14:paraId="5CD43894">
      <w:pPr>
        <w:tabs>
          <w:tab w:val="left" w:pos="1120"/>
        </w:tabs>
        <w:jc w:val="center"/>
        <w:rPr>
          <w:rFonts w:ascii="宋体" w:hAnsi="宋体"/>
          <w:szCs w:val="21"/>
          <w:u w:val="single"/>
        </w:rPr>
      </w:pPr>
    </w:p>
    <w:p w14:paraId="525324A0">
      <w:pPr>
        <w:tabs>
          <w:tab w:val="left" w:pos="1120"/>
        </w:tabs>
        <w:jc w:val="center"/>
        <w:rPr>
          <w:rFonts w:ascii="宋体" w:hAnsi="宋体"/>
          <w:szCs w:val="21"/>
          <w:u w:val="single"/>
        </w:rPr>
      </w:pPr>
    </w:p>
    <w:p w14:paraId="6CA1D10E">
      <w:pPr>
        <w:tabs>
          <w:tab w:val="left" w:pos="1120"/>
        </w:tabs>
        <w:jc w:val="center"/>
        <w:rPr>
          <w:rFonts w:ascii="宋体" w:hAnsi="宋体"/>
          <w:szCs w:val="21"/>
          <w:u w:val="single"/>
        </w:rPr>
      </w:pPr>
    </w:p>
    <w:p w14:paraId="7CC40DA3">
      <w:pPr>
        <w:tabs>
          <w:tab w:val="left" w:pos="1120"/>
        </w:tabs>
        <w:jc w:val="center"/>
        <w:rPr>
          <w:rFonts w:ascii="宋体" w:hAnsi="宋体"/>
          <w:szCs w:val="21"/>
          <w:u w:val="single"/>
        </w:rPr>
      </w:pPr>
    </w:p>
    <w:p w14:paraId="0B0CF667">
      <w:pPr>
        <w:tabs>
          <w:tab w:val="left" w:pos="1120"/>
        </w:tabs>
        <w:jc w:val="center"/>
        <w:rPr>
          <w:rFonts w:ascii="宋体" w:hAnsi="宋体"/>
          <w:szCs w:val="21"/>
          <w:u w:val="single"/>
        </w:rPr>
      </w:pPr>
    </w:p>
    <w:p w14:paraId="7DF94185">
      <w:pPr>
        <w:tabs>
          <w:tab w:val="left" w:pos="1120"/>
        </w:tabs>
        <w:jc w:val="center"/>
        <w:rPr>
          <w:rFonts w:ascii="宋体" w:hAnsi="宋体"/>
          <w:szCs w:val="21"/>
          <w:u w:val="single"/>
        </w:rPr>
      </w:pPr>
    </w:p>
    <w:p w14:paraId="5F4194CE">
      <w:pPr>
        <w:tabs>
          <w:tab w:val="left" w:pos="1120"/>
        </w:tabs>
        <w:jc w:val="center"/>
        <w:rPr>
          <w:rFonts w:ascii="宋体" w:hAnsi="宋体"/>
          <w:szCs w:val="21"/>
          <w:u w:val="single"/>
        </w:rPr>
      </w:pPr>
    </w:p>
    <w:p w14:paraId="1E5A582C">
      <w:pPr>
        <w:tabs>
          <w:tab w:val="left" w:pos="1120"/>
        </w:tabs>
        <w:jc w:val="center"/>
        <w:rPr>
          <w:rFonts w:ascii="宋体" w:hAnsi="宋体"/>
          <w:szCs w:val="21"/>
          <w:u w:val="single"/>
        </w:rPr>
      </w:pPr>
    </w:p>
    <w:p w14:paraId="5CC92E75">
      <w:pPr>
        <w:tabs>
          <w:tab w:val="left" w:pos="1120"/>
        </w:tabs>
        <w:jc w:val="center"/>
        <w:rPr>
          <w:rFonts w:ascii="宋体" w:hAnsi="宋体"/>
          <w:szCs w:val="21"/>
          <w:u w:val="single"/>
        </w:rPr>
      </w:pPr>
    </w:p>
    <w:p w14:paraId="3DFA46E8">
      <w:pPr>
        <w:tabs>
          <w:tab w:val="left" w:pos="1120"/>
        </w:tabs>
        <w:jc w:val="center"/>
        <w:rPr>
          <w:rFonts w:ascii="宋体" w:hAnsi="宋体"/>
          <w:szCs w:val="21"/>
          <w:u w:val="single"/>
        </w:rPr>
      </w:pPr>
    </w:p>
    <w:p w14:paraId="27A9D2CC">
      <w:pPr>
        <w:tabs>
          <w:tab w:val="left" w:pos="1120"/>
        </w:tabs>
        <w:jc w:val="center"/>
        <w:rPr>
          <w:rFonts w:ascii="宋体" w:hAnsi="宋体"/>
          <w:szCs w:val="21"/>
          <w:u w:val="single"/>
        </w:rPr>
      </w:pPr>
    </w:p>
    <w:p w14:paraId="123DB176">
      <w:pPr>
        <w:tabs>
          <w:tab w:val="left" w:pos="1120"/>
        </w:tabs>
        <w:jc w:val="center"/>
        <w:rPr>
          <w:rFonts w:ascii="宋体" w:hAnsi="宋体"/>
          <w:szCs w:val="21"/>
          <w:u w:val="single"/>
        </w:rPr>
      </w:pPr>
    </w:p>
    <w:p w14:paraId="3E77DF26">
      <w:pPr>
        <w:tabs>
          <w:tab w:val="left" w:pos="1120"/>
        </w:tabs>
        <w:jc w:val="center"/>
        <w:rPr>
          <w:rFonts w:ascii="宋体" w:hAnsi="宋体"/>
          <w:szCs w:val="21"/>
          <w:u w:val="single"/>
        </w:rPr>
      </w:pPr>
    </w:p>
    <w:p w14:paraId="6902A6C8">
      <w:pPr>
        <w:tabs>
          <w:tab w:val="left" w:pos="1120"/>
        </w:tabs>
        <w:jc w:val="center"/>
        <w:rPr>
          <w:rFonts w:ascii="宋体" w:hAnsi="宋体"/>
          <w:szCs w:val="21"/>
          <w:u w:val="single"/>
        </w:rPr>
      </w:pPr>
    </w:p>
    <w:p w14:paraId="707CF288">
      <w:pPr>
        <w:tabs>
          <w:tab w:val="left" w:pos="1120"/>
        </w:tabs>
        <w:jc w:val="center"/>
        <w:rPr>
          <w:rFonts w:ascii="宋体" w:hAnsi="宋体"/>
          <w:szCs w:val="21"/>
          <w:u w:val="single"/>
        </w:rPr>
      </w:pPr>
    </w:p>
    <w:p w14:paraId="2CFC2D1B">
      <w:pPr>
        <w:tabs>
          <w:tab w:val="left" w:pos="1120"/>
        </w:tabs>
        <w:jc w:val="center"/>
        <w:rPr>
          <w:rFonts w:ascii="宋体" w:hAnsi="宋体"/>
          <w:szCs w:val="21"/>
          <w:u w:val="single"/>
        </w:rPr>
      </w:pPr>
    </w:p>
    <w:p w14:paraId="5C478746">
      <w:pPr>
        <w:tabs>
          <w:tab w:val="left" w:pos="1120"/>
        </w:tabs>
        <w:jc w:val="center"/>
        <w:rPr>
          <w:rFonts w:ascii="宋体" w:hAnsi="宋体"/>
          <w:szCs w:val="21"/>
          <w:u w:val="single"/>
        </w:rPr>
      </w:pPr>
    </w:p>
    <w:p w14:paraId="30AE68D9">
      <w:pPr>
        <w:pStyle w:val="17"/>
        <w:jc w:val="center"/>
        <w:rPr>
          <w:rFonts w:ascii="黑体" w:hAnsi="黑体" w:eastAsia="黑体" w:cs="宋体"/>
          <w:sz w:val="32"/>
          <w:szCs w:val="32"/>
        </w:rPr>
      </w:pPr>
      <w:r>
        <w:rPr>
          <w:rFonts w:hint="eastAsia" w:ascii="黑体" w:hAnsi="黑体" w:eastAsia="黑体" w:cs="宋体"/>
          <w:sz w:val="32"/>
          <w:szCs w:val="32"/>
        </w:rPr>
        <w:t>宁夏回族自治区开展基层政务公开</w:t>
      </w:r>
    </w:p>
    <w:p w14:paraId="18970830">
      <w:pPr>
        <w:pStyle w:val="17"/>
        <w:jc w:val="center"/>
        <w:rPr>
          <w:rFonts w:ascii="黑体" w:hAnsi="黑体" w:eastAsia="黑体" w:cs="宋体"/>
          <w:sz w:val="32"/>
          <w:szCs w:val="32"/>
        </w:rPr>
      </w:pPr>
      <w:r>
        <w:rPr>
          <w:rFonts w:hint="eastAsia" w:ascii="黑体" w:hAnsi="黑体" w:eastAsia="黑体" w:cs="宋体"/>
          <w:sz w:val="32"/>
          <w:szCs w:val="32"/>
        </w:rPr>
        <w:t>标准化规范化试点工作实施方案</w:t>
      </w:r>
    </w:p>
    <w:p w14:paraId="4328526C">
      <w:pPr>
        <w:pStyle w:val="17"/>
        <w:jc w:val="center"/>
        <w:rPr>
          <w:rFonts w:ascii="楷体_GB2312" w:hAnsi="宋体" w:eastAsia="楷体_GB2312" w:cs="宋体"/>
          <w:sz w:val="32"/>
          <w:szCs w:val="32"/>
        </w:rPr>
      </w:pPr>
    </w:p>
    <w:p w14:paraId="2E2548FA">
      <w:pPr>
        <w:pStyle w:val="17"/>
        <w:ind w:firstLine="645"/>
        <w:rPr>
          <w:rFonts w:cs="宋体" w:asciiTheme="minorEastAsia" w:hAnsiTheme="minorEastAsia" w:eastAsiaTheme="minorEastAsia"/>
        </w:rPr>
      </w:pPr>
      <w:r>
        <w:rPr>
          <w:rFonts w:hint="eastAsia" w:cs="宋体" w:asciiTheme="minorEastAsia" w:hAnsiTheme="minorEastAsia" w:eastAsiaTheme="minorEastAsia"/>
        </w:rPr>
        <w:t>根据《国务院办公厅关于印发开展基层政务公开标准化规范化试点工作方案的通知》精神，我区平罗、平罗、青铜峡、彭阳、海原5县（市），被列入全国100个基层政务公开标准化规范化试点单位。为扎实有效推进试点工作，引领推动全区政务公开工作整体上台阶，制定实施方案如下。</w:t>
      </w:r>
    </w:p>
    <w:p w14:paraId="2134502C">
      <w:pPr>
        <w:pStyle w:val="17"/>
        <w:rPr>
          <w:rFonts w:cs="宋体" w:asciiTheme="minorEastAsia" w:hAnsiTheme="minorEastAsia" w:eastAsiaTheme="minorEastAsia"/>
        </w:rPr>
      </w:pPr>
      <w:r>
        <w:rPr>
          <w:rFonts w:hint="eastAsia" w:cs="宋体" w:asciiTheme="minorEastAsia" w:hAnsiTheme="minorEastAsia" w:eastAsiaTheme="minorEastAsia"/>
        </w:rPr>
        <w:t>　　一、总体要求</w:t>
      </w:r>
    </w:p>
    <w:p w14:paraId="34FC5175">
      <w:pPr>
        <w:pStyle w:val="17"/>
        <w:ind w:firstLine="645"/>
        <w:rPr>
          <w:rFonts w:cs="宋体" w:asciiTheme="minorEastAsia" w:hAnsiTheme="minorEastAsia" w:eastAsiaTheme="minorEastAsia"/>
        </w:rPr>
      </w:pPr>
      <w:r>
        <w:rPr>
          <w:rFonts w:hint="eastAsia" w:cs="宋体" w:asciiTheme="minorEastAsia" w:hAnsiTheme="minorEastAsia" w:eastAsiaTheme="minorEastAsia"/>
        </w:rPr>
        <w:t>（一）指导思想。全面贯彻党的十八大和十八届三中、四中、五中、六中全会及自治区第十二次党代会精神，深入贯彻习近平总书记系列重要讲话精神和治国理政新理念新思想新战略，按照中央和自治区关于全面推进政务公开的一系列新部署新要求，坚持以公开为常态、不公开为例外，依法全面推进县、乡两级决策、执行、管理、服务、结果“五公开”，全面提升基层政务公开和政务服务标准化规范化水平，加快打造法治政府、创新政府、廉洁政府和服务型政府，以优异成绩迎接党的十九大胜利召开和自治区成立60周年。</w:t>
      </w:r>
    </w:p>
    <w:p w14:paraId="11685B2D">
      <w:pPr>
        <w:pStyle w:val="17"/>
        <w:ind w:firstLine="645"/>
        <w:rPr>
          <w:rFonts w:cs="宋体" w:asciiTheme="minorEastAsia" w:hAnsiTheme="minorEastAsia" w:eastAsiaTheme="minorEastAsia"/>
        </w:rPr>
      </w:pPr>
      <w:r>
        <w:rPr>
          <w:rFonts w:hint="eastAsia" w:cs="宋体" w:asciiTheme="minorEastAsia" w:hAnsiTheme="minorEastAsia" w:eastAsiaTheme="minorEastAsia"/>
        </w:rPr>
        <w:t>（二）基本原则。</w:t>
      </w:r>
    </w:p>
    <w:p w14:paraId="090C8D6E">
      <w:pPr>
        <w:pStyle w:val="17"/>
        <w:ind w:firstLine="645"/>
        <w:rPr>
          <w:rFonts w:cs="宋体" w:asciiTheme="minorEastAsia" w:hAnsiTheme="minorEastAsia" w:eastAsiaTheme="minorEastAsia"/>
        </w:rPr>
      </w:pPr>
      <w:r>
        <w:rPr>
          <w:rFonts w:hint="eastAsia" w:cs="宋体" w:asciiTheme="minorEastAsia" w:hAnsiTheme="minorEastAsia" w:eastAsiaTheme="minorEastAsia"/>
        </w:rPr>
        <w:t>1.坚持服务大局，惠民利民。坚持以人民为中心的发展思想，以服务大局、服务群众为目标，以主动服务、便民快捷为基本要求，不断强化服务思维，加速推进政务公开和政务服务提质增效，切实保障人民群众的知情权、参与权、表达权和监督权，打通政府联系服务群众“最后一公里”，以政府更加公开透明赢得人民群众更多理解、信任和支持。</w:t>
      </w:r>
    </w:p>
    <w:p w14:paraId="3E90B12C">
      <w:pPr>
        <w:pStyle w:val="17"/>
        <w:ind w:firstLine="645"/>
        <w:rPr>
          <w:rFonts w:cs="宋体" w:asciiTheme="minorEastAsia" w:hAnsiTheme="minorEastAsia" w:eastAsiaTheme="minorEastAsia"/>
        </w:rPr>
      </w:pPr>
      <w:r>
        <w:rPr>
          <w:rFonts w:hint="eastAsia" w:cs="宋体" w:asciiTheme="minorEastAsia" w:hAnsiTheme="minorEastAsia" w:eastAsiaTheme="minorEastAsia"/>
        </w:rPr>
        <w:t>2.坚持依法依规，稳妥有序。按照建设法治宁夏的总体要求，强化法治思维，严格落实《中华人民共和国政府信息公开条例》《宁夏回族自治区实施〈中华人民共和国政府信息公开条例〉办法》，依法明确政务公开的主体、内容、标准、流程、平台、时限等，提高依法公开工作水平。</w:t>
      </w:r>
    </w:p>
    <w:p w14:paraId="49FE1848">
      <w:pPr>
        <w:pStyle w:val="17"/>
        <w:tabs>
          <w:tab w:val="left" w:pos="540"/>
        </w:tabs>
        <w:ind w:firstLine="645"/>
        <w:rPr>
          <w:rFonts w:cs="宋体" w:asciiTheme="minorEastAsia" w:hAnsiTheme="minorEastAsia" w:eastAsiaTheme="minorEastAsia"/>
        </w:rPr>
      </w:pPr>
      <w:r>
        <w:rPr>
          <w:rFonts w:hint="eastAsia" w:cs="宋体" w:asciiTheme="minorEastAsia" w:hAnsiTheme="minorEastAsia" w:eastAsiaTheme="minorEastAsia"/>
        </w:rPr>
        <w:t>3.坚持改革创新，注重实效。把创新突破摆在突出位置，强化创新思维和问题导向，紧扣薄弱环节，聚焦难点热点，创新公开理念，创新体制机制，创新方式方法，创新技术手段，不断提高行政效能，增强公开实效，真正让基层群众看得到、听得懂、易获取、能监督、好参与。</w:t>
      </w:r>
    </w:p>
    <w:p w14:paraId="79550DDD">
      <w:pPr>
        <w:pStyle w:val="17"/>
        <w:ind w:firstLine="411" w:firstLineChars="196"/>
        <w:rPr>
          <w:rFonts w:cs="宋体" w:asciiTheme="minorEastAsia" w:hAnsiTheme="minorEastAsia" w:eastAsiaTheme="minorEastAsia"/>
        </w:rPr>
      </w:pPr>
      <w:r>
        <w:rPr>
          <w:rFonts w:hint="eastAsia" w:cs="宋体" w:asciiTheme="minorEastAsia" w:hAnsiTheme="minorEastAsia" w:eastAsiaTheme="minorEastAsia"/>
        </w:rPr>
        <w:t>4.坚持标准引领，整体推进。立足实际、高点站位、适度超前，善于借鉴吸收先进省区成功经验，紧盯规范化、精细化管理，注重顶层设计，增强县、乡两级政务公开相关标准要求和制度规范的针对性、指导性、可操作性、可评估监督性，加快推进政务公开与政务服务标准化有机融合，为全区基层政府起到示范、引领作用。</w:t>
      </w:r>
    </w:p>
    <w:p w14:paraId="5D637911">
      <w:pPr>
        <w:pStyle w:val="17"/>
        <w:ind w:firstLine="645"/>
        <w:rPr>
          <w:rFonts w:cs="宋体" w:asciiTheme="minorEastAsia" w:hAnsiTheme="minorEastAsia" w:eastAsiaTheme="minorEastAsia"/>
        </w:rPr>
      </w:pPr>
      <w:r>
        <w:rPr>
          <w:rFonts w:hint="eastAsia" w:cs="宋体" w:asciiTheme="minorEastAsia" w:hAnsiTheme="minorEastAsia" w:eastAsiaTheme="minorEastAsia"/>
        </w:rPr>
        <w:t>（三）工作目标。</w:t>
      </w:r>
    </w:p>
    <w:p w14:paraId="1A44AA73">
      <w:pPr>
        <w:pStyle w:val="17"/>
        <w:ind w:firstLine="645"/>
        <w:rPr>
          <w:rFonts w:cs="宋体" w:asciiTheme="minorEastAsia" w:hAnsiTheme="minorEastAsia" w:eastAsiaTheme="minorEastAsia"/>
        </w:rPr>
      </w:pPr>
      <w:r>
        <w:rPr>
          <w:rFonts w:hint="eastAsia" w:cs="宋体" w:asciiTheme="minorEastAsia" w:hAnsiTheme="minorEastAsia" w:eastAsiaTheme="minorEastAsia"/>
        </w:rPr>
        <w:t>2017年底前，各试点单位县、乡两级政务公开组织领导体制、议事协调机制、工作机构和专兼职人员、保障措施等基本健全，政务公开相关制度规范特别是试点领域公开的主体、内容、标准、流程、平台、时限等体系基本完善。</w:t>
      </w:r>
    </w:p>
    <w:p w14:paraId="6EC49A67">
      <w:pPr>
        <w:pStyle w:val="17"/>
        <w:ind w:firstLine="645"/>
        <w:rPr>
          <w:rFonts w:cs="宋体" w:asciiTheme="minorEastAsia" w:hAnsiTheme="minorEastAsia" w:eastAsiaTheme="minorEastAsia"/>
        </w:rPr>
      </w:pPr>
      <w:r>
        <w:rPr>
          <w:rFonts w:hint="eastAsia" w:cs="宋体" w:asciiTheme="minorEastAsia" w:hAnsiTheme="minorEastAsia" w:eastAsiaTheme="minorEastAsia"/>
        </w:rPr>
        <w:t>2018年8月底前，各试点单位在信息公开、平台建设、政策解读、回应关切、公众参与、数据开放等各环节实现新突破，政务公开制度化、标准化、规范化、信息化等取得新进展，试点领域公开内容最大程度覆盖权力运行全流程、政务服务全过程，人民群众满意度显著提高，公开工作总体迈上新台阶，形成可复制、可推广、可考核的县、乡两级政务公开标准和规范，力争达到“区内领先、西部一流”的成效，为在全区推广奠定坚实基础。</w:t>
      </w:r>
    </w:p>
    <w:p w14:paraId="561FBBE6">
      <w:pPr>
        <w:pStyle w:val="17"/>
        <w:rPr>
          <w:rFonts w:cs="宋体" w:asciiTheme="minorEastAsia" w:hAnsiTheme="minorEastAsia" w:eastAsiaTheme="minorEastAsia"/>
        </w:rPr>
      </w:pPr>
      <w:r>
        <w:rPr>
          <w:rFonts w:hint="eastAsia" w:cs="宋体" w:asciiTheme="minorEastAsia" w:hAnsiTheme="minorEastAsia" w:eastAsiaTheme="minorEastAsia"/>
        </w:rPr>
        <w:t>　　二、试点范围</w:t>
      </w:r>
    </w:p>
    <w:p w14:paraId="701F513A">
      <w:pPr>
        <w:pStyle w:val="17"/>
        <w:rPr>
          <w:rFonts w:cs="宋体" w:asciiTheme="minorEastAsia" w:hAnsiTheme="minorEastAsia" w:eastAsiaTheme="minorEastAsia"/>
        </w:rPr>
      </w:pPr>
      <w:r>
        <w:rPr>
          <w:rFonts w:hint="eastAsia" w:cs="宋体" w:asciiTheme="minorEastAsia" w:hAnsiTheme="minorEastAsia" w:eastAsiaTheme="minorEastAsia"/>
        </w:rPr>
        <w:t>　　按照国务院办公厅的统一部署，结合我区实际，自治区人民政府决定，5个试点单位重点围绕征地补偿、拆迁安置、保障性住房、农村危房改造、扶贫救灾、市政服务、公共资源交易、义务教育、财政预决算、环境保护、食品药品监管、户籍管理、涉农补贴13个领域开展试点工作。各试点单位在确保完成以上规定领域试点任务的同时，可结合实际适当增加试点领域、试点内容。未列入国家级试点单位的其他县（市、区），可积极参照本方案自行组织开展试点工作。</w:t>
      </w:r>
    </w:p>
    <w:p w14:paraId="154695DE">
      <w:pPr>
        <w:pStyle w:val="17"/>
        <w:ind w:firstLine="660"/>
        <w:rPr>
          <w:rFonts w:cs="宋体" w:asciiTheme="minorEastAsia" w:hAnsiTheme="minorEastAsia" w:eastAsiaTheme="minorEastAsia"/>
        </w:rPr>
      </w:pPr>
      <w:r>
        <w:rPr>
          <w:rFonts w:hint="eastAsia" w:cs="宋体" w:asciiTheme="minorEastAsia" w:hAnsiTheme="minorEastAsia" w:eastAsiaTheme="minorEastAsia"/>
        </w:rPr>
        <w:t>三、重点任务</w:t>
      </w:r>
    </w:p>
    <w:p w14:paraId="639AA810">
      <w:pPr>
        <w:pStyle w:val="17"/>
        <w:ind w:firstLine="660"/>
        <w:rPr>
          <w:rFonts w:cs="宋体" w:asciiTheme="minorEastAsia" w:hAnsiTheme="minorEastAsia" w:eastAsiaTheme="minorEastAsia"/>
        </w:rPr>
      </w:pPr>
      <w:r>
        <w:rPr>
          <w:rFonts w:hint="eastAsia" w:cs="宋体" w:asciiTheme="minorEastAsia" w:hAnsiTheme="minorEastAsia" w:eastAsiaTheme="minorEastAsia"/>
        </w:rPr>
        <w:t>各国家级试点单位要按照本方案确定的试点范围，认真组织实施，重点抓好以下工作：</w:t>
      </w:r>
    </w:p>
    <w:p w14:paraId="680E917F">
      <w:pPr>
        <w:pStyle w:val="17"/>
        <w:ind w:firstLine="645"/>
        <w:rPr>
          <w:rFonts w:cs="宋体" w:asciiTheme="minorEastAsia" w:hAnsiTheme="minorEastAsia" w:eastAsiaTheme="minorEastAsia"/>
        </w:rPr>
      </w:pPr>
      <w:r>
        <w:rPr>
          <w:rFonts w:hint="eastAsia" w:cs="宋体" w:asciiTheme="minorEastAsia" w:hAnsiTheme="minorEastAsia" w:eastAsiaTheme="minorEastAsia"/>
        </w:rPr>
        <w:t>（一）梳理汇总公开事项清单。各试点单位要对13个试点领域涉及的公开事项，依据县级人民政府相关部门、各乡（镇）人民政府（包括街道）权力清单、责任清单和公共服务事项清单，进行全面梳理汇总，以条目形式逐项细化分类，明确事项名称、权力类型和责任部门等内容，按照县、乡两个层级，形成政务公开事项清单。事项梳理要坚持以公开为常态、不公开为例外和“应公开、尽公开”的原则，除法律、政策明确规定不予公开的事项外，其余事项均应列入政务公开事项清单，力求公开事项全面精准、分类科学、名称规范、指向明确。</w:t>
      </w:r>
    </w:p>
    <w:p w14:paraId="0BA4B3BC">
      <w:pPr>
        <w:pStyle w:val="17"/>
        <w:ind w:firstLine="645"/>
        <w:rPr>
          <w:rFonts w:cs="宋体" w:asciiTheme="minorEastAsia" w:hAnsiTheme="minorEastAsia" w:eastAsiaTheme="minorEastAsia"/>
        </w:rPr>
      </w:pPr>
      <w:r>
        <w:rPr>
          <w:rFonts w:hint="eastAsia" w:cs="宋体" w:asciiTheme="minorEastAsia" w:hAnsiTheme="minorEastAsia" w:eastAsiaTheme="minorEastAsia"/>
        </w:rPr>
        <w:t>（二）编制公开事项标准目录。各试点单位要按照县、乡两个层级，根据政务公开事项清单，对照全面推进决策、执行、管理、服务、结果“五公开”要求，逐项逐环节梳理，明确每个事项的公开内容、责任主体、规定时限、公开方式、公开程度等要素，汇总编制13套政务公开事项标准目录，并建立动态调整机制，实时进行动态调整。决策公开要重点落实决策前预公开、决策时会议公开、决策后政策文件及其解读材料公开等要求；执行公开要重点公开执行措施、实施步骤、责任分工、监督方式，定期公开工作进展和取得成效、后续举措等；管理公开要重点落实行政执法公示制度，公开执法部门职责权限、执法依据、裁量基准、执法流程、执法结果、救济途径等，全面公开行政监管特别是“双随机、一公开”执法监管等信息；服务公开要紧紧围绕加快推进“互联网＋政务服务”体系建设，对各类行政审批、政务服务事项，通过政府网站、政务“两微一端”等平台，全面统一公开要素齐全、内容一致的办事指南，及时公开办事过程和结果，不断提升网上办事大厅和实体政务服务大厅建设管理的标准化规范化水平；结果公开要重点公开重大决策、重要政策特别是发展规划、政府工作报告、政府决定事项的落实结果等。对13套政务公开事项标准目录，各试点单位要充分调研论证、广泛征求意见、进行合法性审查、反复审核确认，并按照业务范围和职责分工，会同自治区、市、县三级相关业务主管部门和政府法制办联合会审核定，报自治区标准化主管部门审核后，汇编成册，向社会公布。</w:t>
      </w:r>
    </w:p>
    <w:p w14:paraId="334A1D81">
      <w:pPr>
        <w:pStyle w:val="17"/>
        <w:ind w:firstLine="645"/>
        <w:rPr>
          <w:rFonts w:cs="宋体" w:asciiTheme="minorEastAsia" w:hAnsiTheme="minorEastAsia" w:eastAsiaTheme="minorEastAsia"/>
        </w:rPr>
      </w:pPr>
      <w:r>
        <w:rPr>
          <w:rFonts w:hint="eastAsia" w:cs="宋体" w:asciiTheme="minorEastAsia" w:hAnsiTheme="minorEastAsia" w:eastAsiaTheme="minorEastAsia"/>
        </w:rPr>
        <w:t>（三）统筹建好用好各类政务公开平台。</w:t>
      </w:r>
    </w:p>
    <w:p w14:paraId="4E612E72">
      <w:pPr>
        <w:pStyle w:val="17"/>
        <w:ind w:firstLine="645"/>
        <w:rPr>
          <w:rFonts w:cs="宋体" w:asciiTheme="minorEastAsia" w:hAnsiTheme="minorEastAsia" w:eastAsiaTheme="minorEastAsia"/>
        </w:rPr>
      </w:pPr>
      <w:r>
        <w:rPr>
          <w:rFonts w:hint="eastAsia" w:cs="宋体" w:asciiTheme="minorEastAsia" w:hAnsiTheme="minorEastAsia" w:eastAsiaTheme="minorEastAsia"/>
        </w:rPr>
        <w:t>1.充分发挥政府网站信息公开第一平台作用。各试点单位要认真贯彻落实中央和自治区党委、人民政府有关文件要求，抓紧制定出台相关规定，调整和理顺政府网站建设管理体制，梳理细化各相关部门的职能职责，进一步明确本级人民政府办公室（政务公开办公室</w:t>
      </w:r>
      <w:r>
        <w:rPr>
          <w:rFonts w:cs="宋体" w:asciiTheme="minorEastAsia" w:hAnsiTheme="minorEastAsia" w:eastAsiaTheme="minorEastAsia"/>
        </w:rPr>
        <w:t>）</w:t>
      </w:r>
      <w:r>
        <w:rPr>
          <w:rFonts w:hint="eastAsia" w:cs="宋体" w:asciiTheme="minorEastAsia" w:hAnsiTheme="minorEastAsia" w:eastAsiaTheme="minorEastAsia"/>
        </w:rPr>
        <w:t>是本级政府网站建设管理的第一责任主体，负责本级政府门户网站建设以及对本地区政府网站的监督和管理。各试点县（市）人民政府办公室要加强与网信、机构编制、经济和信息化、公安、保密、通信管理等部门的协作，依法履行监管责任，切实提高政府办网、管网水平。要认真贯彻落实《国务院办公厅关于印发政府网站发展指引的通知》要求，抓紧推进政府网站升级改造和标准化、规范化、集约化建设，进一步完善政府网站信息发布、内容保障等机制，优化栏目和专题设置，强化智能搜索功能，方便公众查询或获取信息。公开事项标准目录中涉及的所有内容，要全部通过试点单位政府网站集中、统一、规范展示。同时，要积极做好“网上信箱”“在线访谈”“百姓畅言”等工作，随时掌握社情民意。</w:t>
      </w:r>
    </w:p>
    <w:p w14:paraId="1BC97477">
      <w:pPr>
        <w:pStyle w:val="17"/>
        <w:ind w:firstLine="645"/>
        <w:rPr>
          <w:rFonts w:cs="宋体" w:asciiTheme="minorEastAsia" w:hAnsiTheme="minorEastAsia" w:eastAsiaTheme="minorEastAsia"/>
        </w:rPr>
      </w:pPr>
      <w:r>
        <w:rPr>
          <w:rFonts w:hint="eastAsia" w:cs="宋体" w:asciiTheme="minorEastAsia" w:hAnsiTheme="minorEastAsia" w:eastAsiaTheme="minorEastAsia"/>
        </w:rPr>
        <w:t>2．加强政务“两微一端”等新媒体建设。各试点单位要加强政务微信、微博和移动客户端等新媒体建设，提高“两微一端”等新媒体的开办率，在本行政区域集中力量做强做优一个主账号。有条件的试点单位，要探索建立县、乡两级上下联动、整体发声的新媒体矩阵。要加快信息发布移动客户端阵地建设，积极入驻新华社、人民网、今日头条等第三方移动客户端、涉农资金监管平台、食品药品监管等专业性移动客户端，不断拓宽信息发布传播渠道，扩大信息受众面和影响力。</w:t>
      </w:r>
    </w:p>
    <w:p w14:paraId="00CFFE45">
      <w:pPr>
        <w:pStyle w:val="17"/>
        <w:ind w:firstLine="645"/>
        <w:rPr>
          <w:rFonts w:cs="宋体" w:asciiTheme="minorEastAsia" w:hAnsiTheme="minorEastAsia" w:eastAsiaTheme="minorEastAsia"/>
        </w:rPr>
      </w:pPr>
      <w:r>
        <w:rPr>
          <w:rFonts w:hint="eastAsia" w:cs="宋体" w:asciiTheme="minorEastAsia" w:hAnsiTheme="minorEastAsia" w:eastAsiaTheme="minorEastAsia"/>
        </w:rPr>
        <w:t>3．发挥好政府公报的标准文本作用。按照国务院办公厅的有关要求，从2018年起，有条件的县级人民政府要积极探索创办本级人民政府公报。政府公报要及时刊登本级人民政府及其部门发布的规范性文件，做到应登尽登，为公众查阅、司法审判等提供有效的标准文本。同时，要认真做好政府公报同步上网工作，在本级政府门户网站、政务“两微一端”等平台提供在线服务，方便公众查阅。</w:t>
      </w:r>
    </w:p>
    <w:p w14:paraId="385C6FAA">
      <w:pPr>
        <w:pStyle w:val="17"/>
        <w:ind w:firstLine="645"/>
        <w:rPr>
          <w:rFonts w:cs="宋体" w:asciiTheme="minorEastAsia" w:hAnsiTheme="minorEastAsia" w:eastAsiaTheme="minorEastAsia"/>
        </w:rPr>
      </w:pPr>
      <w:r>
        <w:rPr>
          <w:rFonts w:hint="eastAsia" w:cs="宋体" w:asciiTheme="minorEastAsia" w:hAnsiTheme="minorEastAsia" w:eastAsiaTheme="minorEastAsia"/>
        </w:rPr>
        <w:t>4.完善政府新闻发布制度。各试点单位要以主动做好重要政策法规解读、妥善回应公众质疑、及时澄清不实传言、权威发布重大突发事件信息为重点，切实加强政府新闻发言人制度建设，提升新闻发言人的履职能力，完善新闻发言人工作各项流程，建立重要政府信息及热点问题定期有序发布机制，使政府新闻发布制度真正落到实处。</w:t>
      </w:r>
    </w:p>
    <w:p w14:paraId="2028C804">
      <w:pPr>
        <w:pStyle w:val="17"/>
        <w:ind w:firstLine="645"/>
        <w:rPr>
          <w:rFonts w:cs="宋体" w:asciiTheme="minorEastAsia" w:hAnsiTheme="minorEastAsia" w:eastAsiaTheme="minorEastAsia"/>
        </w:rPr>
      </w:pPr>
      <w:r>
        <w:rPr>
          <w:rFonts w:hint="eastAsia" w:cs="宋体" w:asciiTheme="minorEastAsia" w:hAnsiTheme="minorEastAsia" w:eastAsiaTheme="minorEastAsia"/>
        </w:rPr>
        <w:t>5.加强政府信息查阅室建设。各试点单位要充分利用现有的档案馆、图书馆、政务服务中心等服务场所，或新设立专门的接待窗口和场所，加强政府信息查阅室建设，配置完善电子屏、查询机、公告栏、复印打印等设施设备，为人民群众查阅或获取政府信息提供便利。</w:t>
      </w:r>
    </w:p>
    <w:p w14:paraId="03940932">
      <w:pPr>
        <w:pStyle w:val="17"/>
        <w:ind w:firstLine="645"/>
        <w:rPr>
          <w:rFonts w:cs="宋体" w:asciiTheme="minorEastAsia" w:hAnsiTheme="minorEastAsia" w:eastAsiaTheme="minorEastAsia"/>
        </w:rPr>
      </w:pPr>
      <w:r>
        <w:rPr>
          <w:rFonts w:hint="eastAsia" w:cs="宋体" w:asciiTheme="minorEastAsia" w:hAnsiTheme="minorEastAsia" w:eastAsiaTheme="minorEastAsia"/>
        </w:rPr>
        <w:t>6.加强其他载体建设。各试点单位要积极发挥本行政区域内广播电视、报纸刊物、“12345”政务服务热线、商业网站、公示栏、大喇叭等媒体和平台的作用，针对不同受众和不同信息需求，选择合适的发布手段，重大事项应采用全媒体发布的形式，最大限度地让群众知晓政府信息，为企业生产经营和群众生活提供服务。</w:t>
      </w:r>
    </w:p>
    <w:p w14:paraId="03A20EE4">
      <w:pPr>
        <w:pStyle w:val="17"/>
        <w:ind w:firstLine="645"/>
        <w:rPr>
          <w:rFonts w:cs="宋体" w:asciiTheme="minorEastAsia" w:hAnsiTheme="minorEastAsia" w:eastAsiaTheme="minorEastAsia"/>
        </w:rPr>
      </w:pPr>
      <w:r>
        <w:rPr>
          <w:rFonts w:hint="eastAsia" w:cs="宋体" w:asciiTheme="minorEastAsia" w:hAnsiTheme="minorEastAsia" w:eastAsiaTheme="minorEastAsia"/>
        </w:rPr>
        <w:t>（四）建立完善政务公开工作规程。各试点单位要围绕转变政府职能和全面推进“五公开”的要求，边试点、边总结经验教训，全面梳理和优化政务公开工作规程，建立完善组织协调、保密审查、主动公开、依申请公开、政策解读、舆情引导、回应关切、政民互动、公众参与、考核评议、责任追究等全链条、无缝隙的制度规范体系和工作流程体系，使公开工作真正实现有章可循、有据可查、量化考核、有序深化。</w:t>
      </w:r>
    </w:p>
    <w:p w14:paraId="068F4DA0">
      <w:pPr>
        <w:pStyle w:val="17"/>
        <w:ind w:firstLine="645"/>
        <w:rPr>
          <w:rFonts w:cs="宋体" w:asciiTheme="minorEastAsia" w:hAnsiTheme="minorEastAsia" w:eastAsiaTheme="minorEastAsia"/>
        </w:rPr>
      </w:pPr>
      <w:r>
        <w:rPr>
          <w:rFonts w:hint="eastAsia" w:cs="宋体" w:asciiTheme="minorEastAsia" w:hAnsiTheme="minorEastAsia" w:eastAsiaTheme="minorEastAsia"/>
        </w:rPr>
        <w:t>（五）积极探索打造特色和亮点。各试点单位要深入把握基层政府直接联系服务群众的特点，善于借鉴吸收区内外先进经验，充分发挥主观能动性，锐意改革，勇于创新，敢于担当，大胆先行先试，在体制机制、试点内容、公开要素、模式路径、手段方式、宣传推广、第三方评估等方面，既做好“规定动作”，又做好“自选动作”，重点聚焦人无我有、人有我新、人新我优，在共性中展示个性、在个性中体现特色、在特色中突出亮点，形成立体式效应，确保试点工作取得可借鉴、可复制、可推广的好经验。要积极探索开展社会评价或第三方评估，广泛收集公众对试点工作及成效的评价意见，持续改进工作，不断提升人民群众的满意度和获得感。</w:t>
      </w:r>
    </w:p>
    <w:p w14:paraId="397798EA">
      <w:pPr>
        <w:pStyle w:val="17"/>
        <w:ind w:firstLine="645"/>
        <w:rPr>
          <w:rFonts w:cs="宋体" w:asciiTheme="minorEastAsia" w:hAnsiTheme="minorEastAsia" w:eastAsiaTheme="minorEastAsia"/>
        </w:rPr>
      </w:pPr>
      <w:r>
        <w:rPr>
          <w:rFonts w:hint="eastAsia" w:cs="宋体" w:asciiTheme="minorEastAsia" w:hAnsiTheme="minorEastAsia" w:eastAsiaTheme="minorEastAsia"/>
        </w:rPr>
        <w:t>1. 探索建立政务公开负面清单制度。各试点单位要在编制政务公开事项标准目录体系的基础上，对13个试点领域的公开内容，率先依法稳妥制定政务公开负面清单制度，细化明确不予公开的范围，对公开后可能危及国家安全、经济安全、公共安全、社会稳定等方面的事项纳入负面清单管理，并按照国家有关法律、政策的要求，及时进行调整更新。负面清单要详细具体，便于检查监督，负面清单以外的事项原则上都要依法依规公开。</w:t>
      </w:r>
    </w:p>
    <w:p w14:paraId="37AE0191">
      <w:pPr>
        <w:pStyle w:val="17"/>
        <w:ind w:firstLine="411" w:firstLineChars="196"/>
        <w:rPr>
          <w:rFonts w:cs="宋体" w:asciiTheme="minorEastAsia" w:hAnsiTheme="minorEastAsia" w:eastAsiaTheme="minorEastAsia"/>
        </w:rPr>
      </w:pPr>
      <w:r>
        <w:rPr>
          <w:rFonts w:hint="eastAsia" w:cs="宋体" w:asciiTheme="minorEastAsia" w:hAnsiTheme="minorEastAsia" w:eastAsiaTheme="minorEastAsia"/>
        </w:rPr>
        <w:t>2. 探索推行专项公开内容模板化。各试点单位要按照政务公开事项标准目录，对13个试点领域中的公开专项内容，如预决算公开、涉农资金管理使用公开等，由县级人民政府统一制作公开模板，做到标准、尺度、要求等基本一致。</w:t>
      </w:r>
    </w:p>
    <w:p w14:paraId="04B684E3">
      <w:pPr>
        <w:pStyle w:val="17"/>
        <w:ind w:firstLine="411" w:firstLineChars="196"/>
        <w:rPr>
          <w:rFonts w:cs="宋体" w:asciiTheme="minorEastAsia" w:hAnsiTheme="minorEastAsia" w:eastAsiaTheme="minorEastAsia"/>
        </w:rPr>
      </w:pPr>
      <w:r>
        <w:rPr>
          <w:rFonts w:hint="eastAsia" w:cs="宋体" w:asciiTheme="minorEastAsia" w:hAnsiTheme="minorEastAsia" w:eastAsiaTheme="minorEastAsia"/>
        </w:rPr>
        <w:t>3. 探索制发便民惠民网上地图。各试点单位要按照政务公开事项标准目录，对13个试点领域中的公开专项内容，如义务教育公办学校、户籍办理网点、公租房小区、市政服务网点等方面信息，由县级人民政府统一制作便民惠民网上地图，方便公众快速查询和方便办事。</w:t>
      </w:r>
    </w:p>
    <w:p w14:paraId="43BE74D2">
      <w:pPr>
        <w:pStyle w:val="17"/>
        <w:ind w:firstLine="411" w:firstLineChars="196"/>
        <w:rPr>
          <w:rFonts w:cs="宋体" w:asciiTheme="minorEastAsia" w:hAnsiTheme="minorEastAsia" w:eastAsiaTheme="minorEastAsia"/>
        </w:rPr>
      </w:pPr>
      <w:r>
        <w:rPr>
          <w:rFonts w:hint="eastAsia" w:cs="宋体" w:asciiTheme="minorEastAsia" w:hAnsiTheme="minorEastAsia" w:eastAsiaTheme="minorEastAsia"/>
        </w:rPr>
        <w:t>4. 探索开展政府信息定向精准推送与查询服务。各试点单位要按照政务公开事项标准目录，对13个试点领域中的公开专项内容，如征地补偿、拆迁安置、保障性住房、农村危房改造、扶贫救灾、涉农补贴等点多、面广、覆盖面大的信息数据，进行筛选、分类，综合采用手机短信、电子邮箱、纸质账单等方式定向、精准推送，或通过政府网站、移动客户端数据库查询等方式，为特定群体提供信息查询服务。</w:t>
      </w:r>
    </w:p>
    <w:p w14:paraId="319C3753">
      <w:pPr>
        <w:pStyle w:val="17"/>
        <w:ind w:firstLine="411" w:firstLineChars="196"/>
        <w:rPr>
          <w:rFonts w:cs="宋体" w:asciiTheme="minorEastAsia" w:hAnsiTheme="minorEastAsia" w:eastAsiaTheme="minorEastAsia"/>
        </w:rPr>
      </w:pPr>
      <w:r>
        <w:rPr>
          <w:rFonts w:hint="eastAsia" w:cs="宋体" w:asciiTheme="minorEastAsia" w:hAnsiTheme="minorEastAsia" w:eastAsiaTheme="minorEastAsia"/>
        </w:rPr>
        <w:t>5. 探索开展政府信息“二维码”方式推送。各试点单位要按照政务公开事项标准目录，对13个试点领域中的公开专项内容，创新发布传播方式，对政府网站设置的重要公开专题或专栏，主动制作转化为“二维码”形式，在各级政务服务中心、公示栏或者其他公共场所公布“二维码”，方便公众“扫码”查阅。</w:t>
      </w:r>
    </w:p>
    <w:p w14:paraId="377F3D3A">
      <w:pPr>
        <w:pStyle w:val="17"/>
        <w:ind w:firstLine="411" w:firstLineChars="196"/>
        <w:rPr>
          <w:rFonts w:cs="宋体" w:asciiTheme="minorEastAsia" w:hAnsiTheme="minorEastAsia" w:eastAsiaTheme="minorEastAsia"/>
        </w:rPr>
      </w:pPr>
      <w:r>
        <w:rPr>
          <w:rFonts w:hint="eastAsia" w:cs="宋体" w:asciiTheme="minorEastAsia" w:hAnsiTheme="minorEastAsia" w:eastAsiaTheme="minorEastAsia"/>
        </w:rPr>
        <w:t>6. 探索建立政务公开监督员制度。各试点单位要探索建立政务公开评议监督员制度，以县（市）人民政府选聘一定数量的政务公开评议监督员，定期对本行政</w:t>
      </w:r>
      <w:r>
        <w:rPr>
          <w:rFonts w:cs="宋体" w:asciiTheme="minorEastAsia" w:hAnsiTheme="minorEastAsia" w:eastAsiaTheme="minorEastAsia"/>
        </w:rPr>
        <w:t>区域</w:t>
      </w:r>
      <w:r>
        <w:rPr>
          <w:rFonts w:hint="eastAsia" w:cs="宋体" w:asciiTheme="minorEastAsia" w:hAnsiTheme="minorEastAsia" w:eastAsiaTheme="minorEastAsia"/>
        </w:rPr>
        <w:t>各级各单位政务公开情况进行评议、监督，并在本级政府门户网站设立政务公开评议监督员举报或者建议频道，及时收集、处理举报和意见建议。</w:t>
      </w:r>
    </w:p>
    <w:p w14:paraId="10091974">
      <w:pPr>
        <w:pStyle w:val="17"/>
        <w:ind w:firstLine="411" w:firstLineChars="196"/>
        <w:rPr>
          <w:rFonts w:cs="宋体" w:asciiTheme="minorEastAsia" w:hAnsiTheme="minorEastAsia" w:eastAsiaTheme="minorEastAsia"/>
        </w:rPr>
      </w:pPr>
      <w:r>
        <w:rPr>
          <w:rFonts w:hint="eastAsia" w:cs="宋体" w:asciiTheme="minorEastAsia" w:hAnsiTheme="minorEastAsia" w:eastAsiaTheme="minorEastAsia"/>
        </w:rPr>
        <w:t>7. 探索建立“政府开放日”制度。各试点单位要学习借鉴其他省区经验，探索建立县、乡两级“政府开放日”制度，定期开展“公民走进政府”“电视问政”“网络问政”、评议政务公开和政务服务等活动，让人民群众全方位感受政府工作的运转流程，增强公众对政府工作的认同与信任。</w:t>
      </w:r>
    </w:p>
    <w:p w14:paraId="1A4B48CB">
      <w:pPr>
        <w:pStyle w:val="17"/>
        <w:ind w:firstLine="411" w:firstLineChars="196"/>
        <w:rPr>
          <w:rFonts w:cs="宋体" w:asciiTheme="minorEastAsia" w:hAnsiTheme="minorEastAsia" w:eastAsiaTheme="minorEastAsia"/>
        </w:rPr>
      </w:pPr>
      <w:r>
        <w:rPr>
          <w:rFonts w:hint="eastAsia" w:cs="宋体" w:asciiTheme="minorEastAsia" w:hAnsiTheme="minorEastAsia" w:eastAsiaTheme="minorEastAsia"/>
        </w:rPr>
        <w:t>四、工作进度</w:t>
      </w:r>
    </w:p>
    <w:p w14:paraId="5A22F5E6">
      <w:pPr>
        <w:pStyle w:val="17"/>
        <w:ind w:firstLine="645"/>
        <w:rPr>
          <w:rFonts w:cs="宋体" w:asciiTheme="minorEastAsia" w:hAnsiTheme="minorEastAsia" w:eastAsiaTheme="minorEastAsia"/>
        </w:rPr>
      </w:pPr>
      <w:r>
        <w:rPr>
          <w:rFonts w:hint="eastAsia" w:cs="宋体" w:asciiTheme="minorEastAsia" w:hAnsiTheme="minorEastAsia" w:eastAsiaTheme="minorEastAsia"/>
        </w:rPr>
        <w:t>（一）实施方案制定阶段（2017年6月—9月）。自治区人民政府办公厅牵头制定全区实施方案，经自治区人民政府审定后下发执行，并报国务院办公厅备案。各试点单位对实施方案进行细化和分解，制定详实具体的工作实施细则，并经市人民政府审核通过后，务于2017年9月30日前报自治区人民政府办公厅政务公开办公室备案。</w:t>
      </w:r>
    </w:p>
    <w:p w14:paraId="0BFDBC6F">
      <w:pPr>
        <w:pStyle w:val="17"/>
        <w:ind w:firstLine="645"/>
        <w:rPr>
          <w:rFonts w:cs="宋体" w:asciiTheme="minorEastAsia" w:hAnsiTheme="minorEastAsia" w:eastAsiaTheme="minorEastAsia"/>
        </w:rPr>
      </w:pPr>
      <w:r>
        <w:rPr>
          <w:rFonts w:hint="eastAsia" w:cs="宋体" w:asciiTheme="minorEastAsia" w:hAnsiTheme="minorEastAsia" w:eastAsiaTheme="minorEastAsia"/>
        </w:rPr>
        <w:t>（二）梳理编制标准目录阶段（2017年9月—10月）。各试点单位组织本行政区域相关部门、乡镇（街道）梳理政务公开事项，编制政务公开事项标准目录，并经县、市人民政府审核通过后，务于2017年10月底前报自治区人民政府办公厅政务公开办公室备案。</w:t>
      </w:r>
    </w:p>
    <w:p w14:paraId="1BCFBE58">
      <w:pPr>
        <w:pStyle w:val="17"/>
        <w:ind w:firstLine="645"/>
        <w:rPr>
          <w:rFonts w:cs="宋体" w:asciiTheme="minorEastAsia" w:hAnsiTheme="minorEastAsia" w:eastAsiaTheme="minorEastAsia"/>
        </w:rPr>
      </w:pPr>
      <w:r>
        <w:rPr>
          <w:rFonts w:hint="eastAsia" w:cs="宋体" w:asciiTheme="minorEastAsia" w:hAnsiTheme="minorEastAsia" w:eastAsiaTheme="minorEastAsia"/>
        </w:rPr>
        <w:t>（三）组织落实阶段（2017年11月—2018年6月）。各试点单位组织本行政区域相关部门、乡镇（街道），按照政务公开事项标准目录推进政务公开工作，并务于2018年6月底前完成各项试点任务，形成工作总结报告，经市人民政府审核通过后，报自治区人民政府办公厅政务公开办公室备案。</w:t>
      </w:r>
    </w:p>
    <w:p w14:paraId="6375D422">
      <w:pPr>
        <w:pStyle w:val="17"/>
        <w:ind w:firstLine="645"/>
        <w:rPr>
          <w:rFonts w:cs="宋体" w:asciiTheme="minorEastAsia" w:hAnsiTheme="minorEastAsia" w:eastAsiaTheme="minorEastAsia"/>
        </w:rPr>
      </w:pPr>
      <w:r>
        <w:rPr>
          <w:rFonts w:hint="eastAsia" w:cs="宋体" w:asciiTheme="minorEastAsia" w:hAnsiTheme="minorEastAsia" w:eastAsiaTheme="minorEastAsia"/>
        </w:rPr>
        <w:t>（四）总结验收阶段（2018年7月—2018年8月）。自治区人民政府办公厅牵头，组织自治区相关部门和五市人民政府对各试点单位试点工作情况进行检查验收，形成全区试点工作总结报告，报国务院办公厅。同时，各试点单位要认真做好试点期间方案制定、数据采集、信息公开、沟通协调等各环节档案的收集、分类、留存等工作，随时迎接国务院办公厅的督查调研和评估验收。</w:t>
      </w:r>
    </w:p>
    <w:p w14:paraId="5995644F">
      <w:pPr>
        <w:pStyle w:val="17"/>
        <w:rPr>
          <w:rFonts w:cs="宋体" w:asciiTheme="minorEastAsia" w:hAnsiTheme="minorEastAsia" w:eastAsiaTheme="minorEastAsia"/>
        </w:rPr>
      </w:pPr>
      <w:r>
        <w:rPr>
          <w:rFonts w:hint="eastAsia" w:cs="宋体" w:asciiTheme="minorEastAsia" w:hAnsiTheme="minorEastAsia" w:eastAsiaTheme="minorEastAsia"/>
        </w:rPr>
        <w:t>　　五、保障措施</w:t>
      </w:r>
    </w:p>
    <w:p w14:paraId="1DAFB6BC">
      <w:pPr>
        <w:pStyle w:val="17"/>
        <w:ind w:firstLine="645"/>
        <w:rPr>
          <w:rFonts w:cs="宋体" w:asciiTheme="minorEastAsia" w:hAnsiTheme="minorEastAsia" w:eastAsiaTheme="minorEastAsia"/>
        </w:rPr>
      </w:pPr>
      <w:r>
        <w:rPr>
          <w:rFonts w:hint="eastAsia" w:cs="宋体" w:asciiTheme="minorEastAsia" w:hAnsiTheme="minorEastAsia" w:eastAsiaTheme="minorEastAsia"/>
        </w:rPr>
        <w:t>（一）加强组织领导。开展国家级基层政务公开标准化规范化试点，是我区承担的一项重要改革任务，也是一项政治性、政策性、法律性、专业性都很强的工作，各市、县（区）人民政府和自治区人民政府各有关部门要高度重视，认真抓好落实。各试点单位是本次试点工作的责任主体和落实主体，县（市）长对试点工作负总责。各试点单位要抓紧成立试点工作领导小组及其办公室，确定一位政府领导具体主抓，并逐级明确负责推进试点工作的专门机构、专门人员，细化分解工作任务和工作责任，突出抓好政府网站改版升级和公开业务培训，切实按照本方案确定的目标要求、试点内容、工作进度和时间节点，深入动员、周密部署、精心组织，确保试点工作扎实推进、取得实效。自治区人民政府办公厅负责做好全区统筹协调工作，自治区人民政府政务公开办公室负责做好具体组织协调、指导推进、监督检查等工作。自治区编办、发展改革委、教育厅、公安厅、民政厅、财政厅、国土资源厅、环境保护厅、住房城乡建设厅、扶贫办、食品药监局、公共资源交易管理局、政府法制办、信息</w:t>
      </w:r>
      <w:r>
        <w:rPr>
          <w:rFonts w:cs="宋体" w:asciiTheme="minorEastAsia" w:hAnsiTheme="minorEastAsia" w:eastAsiaTheme="minorEastAsia"/>
        </w:rPr>
        <w:t>化</w:t>
      </w:r>
      <w:r>
        <w:rPr>
          <w:rFonts w:hint="eastAsia" w:cs="宋体" w:asciiTheme="minorEastAsia" w:hAnsiTheme="minorEastAsia" w:eastAsiaTheme="minorEastAsia"/>
        </w:rPr>
        <w:t>建设办、政务服务中心等部门，要认真履行职责，切实抓好试点工作的指导监督。各市人民政府要分别确定一位政府领导统筹负责，组织协调市级人民政府相关部门加强业务指导和督促检查，及时研究、帮助解决试点工作中的困难和问题。全区各级标准化主管部门要积极参与审核政务公开相关标准，配合做好试点跟踪评估等工作。</w:t>
      </w:r>
    </w:p>
    <w:p w14:paraId="4195B35F">
      <w:pPr>
        <w:pStyle w:val="17"/>
        <w:ind w:firstLine="645"/>
        <w:rPr>
          <w:rFonts w:cs="宋体" w:asciiTheme="minorEastAsia" w:hAnsiTheme="minorEastAsia" w:eastAsiaTheme="minorEastAsia"/>
        </w:rPr>
      </w:pPr>
      <w:r>
        <w:rPr>
          <w:rFonts w:hint="eastAsia" w:cs="宋体" w:asciiTheme="minorEastAsia" w:hAnsiTheme="minorEastAsia" w:eastAsiaTheme="minorEastAsia"/>
        </w:rPr>
        <w:t>（二）加强经费保障。鉴于各试点单位政务公开工作相对起步晚、基础弱，特别是政府网站、政府公报、政务“两微一端”、新闻发布会、政府信息查阅点等公开平台和载体不健全，亟需补齐短板。各试点单位要将本次试点工作所需经费列入本级2018年财政预算，确保按时核拨到位。鼓励各试点单位通过引进社会资源、政府购买服务等方式，提升政务公开专业化水平。</w:t>
      </w:r>
    </w:p>
    <w:p w14:paraId="077BFA9E">
      <w:pPr>
        <w:pStyle w:val="17"/>
        <w:ind w:firstLine="645"/>
        <w:rPr>
          <w:rFonts w:cs="宋体" w:asciiTheme="minorEastAsia" w:hAnsiTheme="minorEastAsia" w:eastAsiaTheme="minorEastAsia"/>
        </w:rPr>
      </w:pPr>
      <w:r>
        <w:rPr>
          <w:rFonts w:hint="eastAsia" w:cs="宋体" w:asciiTheme="minorEastAsia" w:hAnsiTheme="minorEastAsia" w:eastAsiaTheme="minorEastAsia"/>
        </w:rPr>
        <w:t>（三）加强工作交流。建立自治区、市、县三级推进试点工作联络员制度，自治区人民政府各有关部门、五市和5个试点单位要各确定一名联络员负责相关联络沟通工作，并务于本方案印发5个工作日内，将主管负责同志和联络员名单报自治区人民政府办公厅政务公开办公室。自治区人民政府门户网站在首页开设试点工作专题，集中展示全区各试点单位的试点工作情况。各市人民政府及各试点单位也要通过在本单位门户网站首页开设试点工作专题、在本地电视广播开办专题节目、编发工作简报等多种方式加强交流，促进相互学习借鉴。自治区人民政府办公厅政务公开办公室要及时跟踪督查试点工作进展情况，适时对试点单位的经验做法组织交流。</w:t>
      </w:r>
    </w:p>
    <w:p w14:paraId="1841AC1D">
      <w:pPr>
        <w:pStyle w:val="17"/>
        <w:ind w:firstLine="645"/>
        <w:rPr>
          <w:rFonts w:cs="宋体" w:asciiTheme="minorEastAsia" w:hAnsiTheme="minorEastAsia" w:eastAsiaTheme="minorEastAsia"/>
        </w:rPr>
      </w:pPr>
      <w:r>
        <w:rPr>
          <w:rFonts w:hint="eastAsia" w:cs="宋体" w:asciiTheme="minorEastAsia" w:hAnsiTheme="minorEastAsia" w:eastAsiaTheme="minorEastAsia"/>
        </w:rPr>
        <w:t>（四）加强检查评估。自治区人民政府办公厅要强化激励和问责机制，将试点工作纳入2017年度、2018年度政务公开效能考核和第三方评估，加强督促检查，对试点工作行动快、力度大、成效显著的进行通报表扬；对试点工作行动迟缓、落实不力、成效不大的进行通报批评；对试点工作疲沓拖拉、敷衍塞责、流于形式，并影响到国家评估验收的，及时提请自治区人民政府进行约谈。试点工作启动后，各试点单位要立即建立工作台账，每10个工作日向自治区人民政府办公厅政务公开办公室报送一次试点工作进展情况；五市人民政府每20个工作日向自治区人民政府办公厅政务公开办公室报送一次试点工作推进情况、存在问题及下一步工作措施。</w:t>
      </w:r>
    </w:p>
    <w:p w14:paraId="3B248682">
      <w:pPr>
        <w:pStyle w:val="17"/>
        <w:ind w:firstLine="645"/>
        <w:rPr>
          <w:rFonts w:cs="宋体" w:asciiTheme="minorEastAsia" w:hAnsiTheme="minorEastAsia" w:eastAsiaTheme="minorEastAsia"/>
        </w:rPr>
      </w:pPr>
    </w:p>
    <w:p w14:paraId="28AC667E">
      <w:pPr>
        <w:ind w:firstLine="420" w:firstLineChars="200"/>
        <w:rPr>
          <w:rFonts w:cs="宋体" w:asciiTheme="minorEastAsia" w:hAnsiTheme="minorEastAsia" w:eastAsiaTheme="minorEastAsia"/>
          <w:szCs w:val="21"/>
        </w:rPr>
      </w:pPr>
      <w:r>
        <w:rPr>
          <w:rFonts w:hint="eastAsia" w:asciiTheme="minorEastAsia" w:hAnsiTheme="minorEastAsia" w:eastAsiaTheme="minorEastAsia"/>
          <w:szCs w:val="21"/>
        </w:rPr>
        <w:t>（自治区政府各有关部门：</w:t>
      </w:r>
      <w:r>
        <w:rPr>
          <w:rFonts w:hint="eastAsia" w:cs="宋体" w:asciiTheme="minorEastAsia" w:hAnsiTheme="minorEastAsia" w:eastAsiaTheme="minorEastAsia"/>
          <w:szCs w:val="21"/>
        </w:rPr>
        <w:t>自治区编办、发展改革委、教育厅、公安厅、民政厅、财政厅、国土资源厅、环境保护厅、住房城乡建设厅、质监局、扶贫办、食品药监局、公共资源交易管理局、政府法制办、信息</w:t>
      </w:r>
      <w:r>
        <w:rPr>
          <w:rFonts w:cs="宋体" w:asciiTheme="minorEastAsia" w:hAnsiTheme="minorEastAsia" w:eastAsiaTheme="minorEastAsia"/>
          <w:szCs w:val="21"/>
        </w:rPr>
        <w:t>化</w:t>
      </w:r>
      <w:r>
        <w:rPr>
          <w:rFonts w:hint="eastAsia" w:cs="宋体" w:asciiTheme="minorEastAsia" w:hAnsiTheme="minorEastAsia" w:eastAsiaTheme="minorEastAsia"/>
          <w:szCs w:val="21"/>
        </w:rPr>
        <w:t>建设办、政务服务中心）</w:t>
      </w:r>
    </w:p>
    <w:p w14:paraId="4D802171">
      <w:pPr>
        <w:widowControl/>
        <w:shd w:val="clear" w:color="auto" w:fill="FFFFFF"/>
        <w:spacing w:line="480" w:lineRule="atLeast"/>
        <w:jc w:val="center"/>
        <w:rPr>
          <w:rFonts w:ascii="黑体" w:hAnsi="黑体" w:eastAsia="黑体" w:cs="宋体"/>
          <w:bCs/>
          <w:kern w:val="0"/>
          <w:sz w:val="32"/>
          <w:szCs w:val="32"/>
        </w:rPr>
      </w:pPr>
    </w:p>
    <w:p w14:paraId="3D1F1A1E">
      <w:pPr>
        <w:widowControl/>
        <w:shd w:val="clear" w:color="auto" w:fill="FFFFFF"/>
        <w:spacing w:line="480" w:lineRule="atLeast"/>
        <w:jc w:val="center"/>
        <w:rPr>
          <w:rFonts w:ascii="黑体" w:hAnsi="黑体" w:eastAsia="黑体" w:cs="宋体"/>
          <w:bCs/>
          <w:kern w:val="0"/>
          <w:sz w:val="32"/>
          <w:szCs w:val="32"/>
        </w:rPr>
      </w:pPr>
    </w:p>
    <w:p w14:paraId="72DDE1F5">
      <w:pPr>
        <w:widowControl/>
        <w:shd w:val="clear" w:color="auto" w:fill="FFFFFF"/>
        <w:spacing w:line="480" w:lineRule="atLeast"/>
        <w:jc w:val="center"/>
        <w:rPr>
          <w:rFonts w:ascii="黑体" w:hAnsi="黑体" w:eastAsia="黑体" w:cs="宋体"/>
          <w:bCs/>
          <w:kern w:val="0"/>
          <w:sz w:val="32"/>
          <w:szCs w:val="32"/>
        </w:rPr>
      </w:pPr>
    </w:p>
    <w:p w14:paraId="09E07779">
      <w:pPr>
        <w:widowControl/>
        <w:shd w:val="clear" w:color="auto" w:fill="FFFFFF"/>
        <w:spacing w:line="480" w:lineRule="atLeast"/>
        <w:jc w:val="center"/>
        <w:rPr>
          <w:rFonts w:ascii="黑体" w:hAnsi="黑体" w:eastAsia="黑体" w:cs="宋体"/>
          <w:bCs/>
          <w:kern w:val="0"/>
          <w:sz w:val="32"/>
          <w:szCs w:val="32"/>
        </w:rPr>
      </w:pPr>
    </w:p>
    <w:p w14:paraId="7DE252E8">
      <w:pPr>
        <w:widowControl/>
        <w:shd w:val="clear" w:color="auto" w:fill="FFFFFF"/>
        <w:spacing w:line="480" w:lineRule="atLeast"/>
        <w:jc w:val="center"/>
        <w:rPr>
          <w:rFonts w:ascii="黑体" w:hAnsi="黑体" w:eastAsia="黑体" w:cs="宋体"/>
          <w:bCs/>
          <w:kern w:val="0"/>
          <w:sz w:val="32"/>
          <w:szCs w:val="32"/>
        </w:rPr>
      </w:pPr>
    </w:p>
    <w:p w14:paraId="30FB3DD8">
      <w:pPr>
        <w:widowControl/>
        <w:shd w:val="clear" w:color="auto" w:fill="FFFFFF"/>
        <w:spacing w:line="480" w:lineRule="atLeast"/>
        <w:jc w:val="center"/>
        <w:rPr>
          <w:rFonts w:ascii="黑体" w:hAnsi="黑体" w:eastAsia="黑体" w:cs="宋体"/>
          <w:bCs/>
          <w:kern w:val="0"/>
          <w:sz w:val="32"/>
          <w:szCs w:val="32"/>
        </w:rPr>
      </w:pPr>
      <w:r>
        <w:rPr>
          <w:rFonts w:hint="eastAsia" w:ascii="黑体" w:hAnsi="黑体" w:eastAsia="黑体" w:cs="宋体"/>
          <w:bCs/>
          <w:kern w:val="0"/>
          <w:sz w:val="32"/>
          <w:szCs w:val="32"/>
        </w:rPr>
        <w:t xml:space="preserve">宁夏回族自治区完善退耕还林政策补助资金管理办法实施细则 </w:t>
      </w:r>
    </w:p>
    <w:p w14:paraId="0D29B944">
      <w:pPr>
        <w:widowControl/>
        <w:shd w:val="clear" w:color="auto" w:fill="FFFFFF"/>
        <w:ind w:firstLine="482"/>
        <w:jc w:val="left"/>
        <w:rPr>
          <w:rFonts w:ascii="仿宋_GB2312" w:hAnsi="宋体" w:eastAsia="仿宋_GB2312" w:cs="宋体"/>
          <w:b/>
          <w:bCs/>
          <w:kern w:val="0"/>
          <w:szCs w:val="21"/>
        </w:rPr>
      </w:pPr>
    </w:p>
    <w:p w14:paraId="67725648">
      <w:pPr>
        <w:widowControl/>
        <w:shd w:val="clear" w:color="auto" w:fill="FFFFFF"/>
        <w:ind w:firstLine="482"/>
        <w:jc w:val="left"/>
        <w:rPr>
          <w:rFonts w:ascii="宋体" w:hAnsi="宋体" w:cs="宋体"/>
          <w:kern w:val="0"/>
          <w:szCs w:val="21"/>
        </w:rPr>
      </w:pPr>
      <w:r>
        <w:rPr>
          <w:rFonts w:hint="eastAsia" w:ascii="仿宋_GB2312" w:hAnsi="宋体" w:eastAsia="仿宋_GB2312" w:cs="宋体"/>
          <w:b/>
          <w:bCs/>
          <w:kern w:val="0"/>
          <w:szCs w:val="21"/>
        </w:rPr>
        <w:t>第一条</w:t>
      </w:r>
      <w:r>
        <w:rPr>
          <w:rFonts w:hint="eastAsia" w:ascii="仿宋_GB2312" w:hAnsi="宋体" w:eastAsia="仿宋_GB2312" w:cs="宋体"/>
          <w:kern w:val="0"/>
          <w:szCs w:val="21"/>
        </w:rPr>
        <w:t xml:space="preserve"> 为加强完善退耕还林政策补助资金（以下简称补助资金）管理，确保将补助资金及时足额兑现给退耕农户，根据《国务院关于完善退耕还林政策的通知》（国发[2007]25号）和财政部《完善退耕还林政策补助资金管理办法》（财农[2007]339号）等规定，制定本实施细则。</w:t>
      </w:r>
    </w:p>
    <w:p w14:paraId="1A97B041">
      <w:pPr>
        <w:widowControl/>
        <w:shd w:val="clear" w:color="auto" w:fill="FFFFFF"/>
        <w:ind w:firstLine="482"/>
        <w:jc w:val="left"/>
        <w:rPr>
          <w:rFonts w:ascii="宋体" w:hAnsi="宋体" w:cs="宋体"/>
          <w:kern w:val="0"/>
          <w:szCs w:val="21"/>
        </w:rPr>
      </w:pPr>
      <w:r>
        <w:rPr>
          <w:rFonts w:hint="eastAsia" w:ascii="仿宋_GB2312" w:hAnsi="宋体" w:eastAsia="仿宋_GB2312" w:cs="宋体"/>
          <w:b/>
          <w:bCs/>
          <w:kern w:val="0"/>
          <w:szCs w:val="21"/>
        </w:rPr>
        <w:t>第二条</w:t>
      </w:r>
      <w:r>
        <w:rPr>
          <w:rFonts w:hint="eastAsia" w:ascii="仿宋_GB2312" w:hAnsi="宋体" w:eastAsia="仿宋_GB2312" w:cs="宋体"/>
          <w:kern w:val="0"/>
          <w:szCs w:val="21"/>
        </w:rPr>
        <w:t xml:space="preserve"> 补助资金是指中央财政在原退耕还林政策补助期满后安排的用于解决退耕农户生活困难的专项资金。</w:t>
      </w:r>
    </w:p>
    <w:p w14:paraId="48D11474">
      <w:pPr>
        <w:widowControl/>
        <w:shd w:val="clear" w:color="auto" w:fill="FFFFFF"/>
        <w:ind w:firstLine="482"/>
        <w:jc w:val="left"/>
        <w:rPr>
          <w:rFonts w:ascii="宋体" w:hAnsi="宋体" w:cs="宋体"/>
          <w:kern w:val="0"/>
          <w:szCs w:val="21"/>
        </w:rPr>
      </w:pPr>
      <w:r>
        <w:rPr>
          <w:rFonts w:hint="eastAsia" w:ascii="仿宋_GB2312" w:hAnsi="宋体" w:eastAsia="仿宋_GB2312" w:cs="宋体"/>
          <w:b/>
          <w:bCs/>
          <w:kern w:val="0"/>
          <w:szCs w:val="21"/>
        </w:rPr>
        <w:t>第三条</w:t>
      </w:r>
      <w:r>
        <w:rPr>
          <w:rFonts w:hint="eastAsia" w:ascii="仿宋_GB2312" w:hAnsi="宋体" w:eastAsia="仿宋_GB2312" w:cs="宋体"/>
          <w:kern w:val="0"/>
          <w:szCs w:val="21"/>
        </w:rPr>
        <w:t xml:space="preserve"> 补助资金的补助标准为：每亩退耕地每年补助现金70元；原每亩退耕地每年20元现金补助，继续直接补助给退耕农户，并与管护任务挂钩。</w:t>
      </w:r>
    </w:p>
    <w:p w14:paraId="2CFC497C">
      <w:pPr>
        <w:widowControl/>
        <w:shd w:val="clear" w:color="auto" w:fill="FFFFFF"/>
        <w:ind w:firstLine="482"/>
        <w:jc w:val="left"/>
        <w:rPr>
          <w:rFonts w:ascii="宋体" w:hAnsi="宋体" w:cs="宋体"/>
          <w:kern w:val="0"/>
          <w:szCs w:val="21"/>
        </w:rPr>
      </w:pPr>
      <w:r>
        <w:rPr>
          <w:rFonts w:hint="eastAsia" w:ascii="仿宋_GB2312" w:hAnsi="宋体" w:eastAsia="仿宋_GB2312" w:cs="宋体"/>
          <w:b/>
          <w:bCs/>
          <w:kern w:val="0"/>
          <w:szCs w:val="21"/>
        </w:rPr>
        <w:t xml:space="preserve">第四条 </w:t>
      </w:r>
      <w:r>
        <w:rPr>
          <w:rFonts w:hint="eastAsia" w:ascii="仿宋_GB2312" w:hAnsi="宋体" w:eastAsia="仿宋_GB2312" w:cs="宋体"/>
          <w:kern w:val="0"/>
          <w:szCs w:val="21"/>
        </w:rPr>
        <w:t>补助资金的补助期限为：还生态林补助8年，还经济林补助5年，还草补助2年。</w:t>
      </w:r>
    </w:p>
    <w:p w14:paraId="63D10D8C">
      <w:pPr>
        <w:widowControl/>
        <w:shd w:val="clear" w:color="auto" w:fill="FFFFFF"/>
        <w:ind w:firstLine="482"/>
        <w:jc w:val="left"/>
        <w:rPr>
          <w:rFonts w:ascii="宋体" w:hAnsi="宋体" w:cs="宋体"/>
          <w:kern w:val="0"/>
          <w:szCs w:val="21"/>
        </w:rPr>
      </w:pPr>
      <w:r>
        <w:rPr>
          <w:rFonts w:hint="eastAsia" w:ascii="仿宋_GB2312" w:hAnsi="宋体" w:eastAsia="仿宋_GB2312" w:cs="宋体"/>
          <w:b/>
          <w:bCs/>
          <w:kern w:val="0"/>
          <w:szCs w:val="21"/>
        </w:rPr>
        <w:t xml:space="preserve">第五条 </w:t>
      </w:r>
      <w:r>
        <w:rPr>
          <w:rFonts w:hint="eastAsia" w:ascii="仿宋_GB2312" w:hAnsi="宋体" w:eastAsia="仿宋_GB2312" w:cs="宋体"/>
          <w:kern w:val="0"/>
          <w:szCs w:val="21"/>
        </w:rPr>
        <w:t>退耕林地的管护</w:t>
      </w:r>
    </w:p>
    <w:p w14:paraId="358E8D40">
      <w:pPr>
        <w:widowControl/>
        <w:shd w:val="clear" w:color="auto" w:fill="FFFFFF"/>
        <w:ind w:firstLine="480"/>
        <w:jc w:val="left"/>
        <w:rPr>
          <w:rFonts w:ascii="宋体" w:hAnsi="宋体" w:cs="宋体"/>
          <w:kern w:val="0"/>
          <w:szCs w:val="21"/>
        </w:rPr>
      </w:pPr>
      <w:r>
        <w:rPr>
          <w:rFonts w:hint="eastAsia" w:ascii="仿宋_GB2312" w:hAnsi="宋体" w:eastAsia="仿宋_GB2312" w:cs="宋体"/>
          <w:kern w:val="0"/>
          <w:szCs w:val="21"/>
        </w:rPr>
        <w:t>（一）退耕林地的管护实行县级人民政府统一领导下的逐级负责制，层层落实责任制。乡镇人民政府要与退耕农户或委托的护林人员签订管护责任书，划定管护责任区，建立护林档案，做到权责明确、任务具体，责任到户。</w:t>
      </w:r>
    </w:p>
    <w:p w14:paraId="2A28400F">
      <w:pPr>
        <w:widowControl/>
        <w:shd w:val="clear" w:color="auto" w:fill="FFFFFF"/>
        <w:ind w:firstLine="480"/>
        <w:jc w:val="left"/>
        <w:rPr>
          <w:rFonts w:ascii="宋体" w:hAnsi="宋体" w:cs="宋体"/>
          <w:kern w:val="0"/>
          <w:szCs w:val="21"/>
        </w:rPr>
      </w:pPr>
      <w:r>
        <w:rPr>
          <w:rFonts w:hint="eastAsia" w:ascii="仿宋_GB2312" w:hAnsi="宋体" w:eastAsia="仿宋_GB2312" w:cs="宋体"/>
          <w:kern w:val="0"/>
          <w:szCs w:val="21"/>
        </w:rPr>
        <w:t>（二）按照“谁退耕、谁造林、谁经营、谁收益”的原则，退耕林地一般由退耕农户个人管护。退耕农户个人管护有困难或实行生态移民区域的退耕地可实行集体统一管护。实行集体统一管护的，由退耕农户自己推选责任心强的人员担任护林员，护林员要与退耕农户签订管护委托书，并接受县级林业部门的监督、检查和指导。实行生态移民区域的退耕地可成建制的就近委托林业部门进行管护，并由林业部门与移民退耕农户签订委托书。</w:t>
      </w:r>
    </w:p>
    <w:p w14:paraId="30F2BD2E">
      <w:pPr>
        <w:widowControl/>
        <w:shd w:val="clear" w:color="auto" w:fill="FFFFFF"/>
        <w:ind w:firstLine="480"/>
        <w:jc w:val="left"/>
        <w:rPr>
          <w:rFonts w:ascii="宋体" w:hAnsi="宋体" w:cs="宋体"/>
          <w:kern w:val="0"/>
          <w:szCs w:val="21"/>
        </w:rPr>
      </w:pPr>
      <w:r>
        <w:rPr>
          <w:rFonts w:hint="eastAsia" w:ascii="宋体" w:hAnsi="宋体" w:cs="宋体"/>
          <w:kern w:val="0"/>
          <w:szCs w:val="21"/>
        </w:rPr>
        <w:t>（三）管护人员的主要职责。对退耕林地进行松土除草、修枝抹芽、鼠兔防治等抚育采取管护措施，并制止破坏林木资源的行为。发现破坏林木资源的行为和案件、重大森林火灾和林木病虫害时，管护人员要及时报告当地有关单位和县级林业部门。</w:t>
      </w:r>
    </w:p>
    <w:p w14:paraId="01C679CC">
      <w:pPr>
        <w:widowControl/>
        <w:shd w:val="clear" w:color="auto" w:fill="FFFFFF"/>
        <w:ind w:firstLine="480"/>
        <w:jc w:val="left"/>
        <w:rPr>
          <w:rFonts w:ascii="宋体" w:hAnsi="宋体" w:cs="宋体"/>
          <w:kern w:val="0"/>
          <w:szCs w:val="21"/>
        </w:rPr>
      </w:pPr>
      <w:r>
        <w:rPr>
          <w:rFonts w:hint="eastAsia" w:ascii="仿宋_GB2312" w:hAnsi="宋体" w:eastAsia="仿宋_GB2312" w:cs="宋体"/>
          <w:kern w:val="0"/>
          <w:szCs w:val="21"/>
        </w:rPr>
        <w:t>（四）森林防火工作由县级护林防火指挥部负责，各乡镇人民政府、县级林业主管部门及相关部门应当切实做好林木火灾的预防和扑救工作；退耕农户要增强防火意识，配合有关部门加强防火管理。火灾发生后，接到扑火命令，必须迅速赶赴所辖地点，投入扑救。发生林木病虫害时，退耕农户在林业部门的指导下采取有效防治措施，防止蔓延；县级林业部门对举报的破坏林木资源的行为和案件要及时依法查处。</w:t>
      </w:r>
    </w:p>
    <w:p w14:paraId="3D883BD5">
      <w:pPr>
        <w:widowControl/>
        <w:shd w:val="clear" w:color="auto" w:fill="FFFFFF"/>
        <w:ind w:firstLine="482"/>
        <w:jc w:val="left"/>
        <w:rPr>
          <w:rFonts w:ascii="宋体" w:hAnsi="宋体" w:cs="宋体"/>
          <w:kern w:val="0"/>
          <w:szCs w:val="21"/>
        </w:rPr>
      </w:pPr>
      <w:r>
        <w:rPr>
          <w:rFonts w:hint="eastAsia" w:ascii="仿宋_GB2312" w:hAnsi="宋体" w:eastAsia="仿宋_GB2312" w:cs="宋体"/>
          <w:b/>
          <w:bCs/>
          <w:kern w:val="0"/>
          <w:szCs w:val="21"/>
        </w:rPr>
        <w:t xml:space="preserve">第六条 </w:t>
      </w:r>
      <w:r>
        <w:rPr>
          <w:rFonts w:hint="eastAsia" w:ascii="仿宋_GB2312" w:hAnsi="宋体" w:eastAsia="仿宋_GB2312" w:cs="宋体"/>
          <w:kern w:val="0"/>
          <w:szCs w:val="21"/>
        </w:rPr>
        <w:t>退耕林地管护情况的检查验收</w:t>
      </w:r>
    </w:p>
    <w:p w14:paraId="677E8CFE">
      <w:pPr>
        <w:widowControl/>
        <w:shd w:val="clear" w:color="auto" w:fill="FFFFFF"/>
        <w:ind w:firstLine="480"/>
        <w:jc w:val="left"/>
        <w:rPr>
          <w:rFonts w:ascii="宋体" w:hAnsi="宋体" w:cs="宋体"/>
          <w:kern w:val="0"/>
          <w:szCs w:val="21"/>
        </w:rPr>
      </w:pPr>
      <w:r>
        <w:rPr>
          <w:rFonts w:hint="eastAsia" w:ascii="仿宋_GB2312" w:hAnsi="宋体" w:eastAsia="仿宋_GB2312" w:cs="宋体"/>
          <w:kern w:val="0"/>
          <w:szCs w:val="21"/>
        </w:rPr>
        <w:t>（一）为了加强退耕林地的管护工作，将管护责任落到实处，县级林业主管部门要依据自治区林业主管部门制定的退耕林地管护检查验收办法，定期对全县退耕林地管护情况进行检查验收。各乡镇人民政府要积极配合县级林业主管部门搞好本乡镇退耕林地管护的检查验收工作。</w:t>
      </w:r>
    </w:p>
    <w:p w14:paraId="0CAC8385">
      <w:pPr>
        <w:widowControl/>
        <w:shd w:val="clear" w:color="auto" w:fill="FFFFFF"/>
        <w:ind w:firstLine="480"/>
        <w:jc w:val="left"/>
        <w:rPr>
          <w:rFonts w:ascii="宋体" w:hAnsi="宋体" w:cs="宋体"/>
          <w:kern w:val="0"/>
          <w:szCs w:val="21"/>
        </w:rPr>
      </w:pPr>
      <w:r>
        <w:rPr>
          <w:rFonts w:hint="eastAsia" w:ascii="宋体" w:hAnsi="宋体" w:cs="宋体"/>
          <w:kern w:val="0"/>
          <w:szCs w:val="21"/>
        </w:rPr>
        <w:t>（二）各乡镇人民政府和村民委员会要对退耕林地的管护和资金发放情况进行张榜公示，接受退耕农户监督。任何单位和个人都有权反映、举报管护人员工作不称职和管护资金使用不合理的行为。各级林业部门和其他有关部门要设立举报电话，接到反映、举报后，要及时依法进行查处。</w:t>
      </w:r>
    </w:p>
    <w:p w14:paraId="2C591A70">
      <w:pPr>
        <w:widowControl/>
        <w:shd w:val="clear" w:color="auto" w:fill="FFFFFF"/>
        <w:ind w:firstLine="480"/>
        <w:jc w:val="left"/>
        <w:rPr>
          <w:rFonts w:ascii="宋体" w:hAnsi="宋体" w:cs="宋体"/>
          <w:kern w:val="0"/>
          <w:szCs w:val="21"/>
        </w:rPr>
      </w:pPr>
      <w:r>
        <w:rPr>
          <w:rFonts w:hint="eastAsia" w:ascii="仿宋_GB2312" w:hAnsi="宋体" w:eastAsia="仿宋_GB2312" w:cs="宋体"/>
          <w:kern w:val="0"/>
          <w:szCs w:val="21"/>
        </w:rPr>
        <w:t>（三）根据检查验收结果，对管护达到规定要求的，各市县要及时兑现与管护任务挂钩的政策补助资金。由农户推选的护林人员进行管护的，退耕农户按照协议签订的管护费标准直接将管护经费支付给护林人员或委托林业部门统一发放。对于玩忽职守、不负责任造成林木损失的退耕农户暂停兑现与管护任务挂钩的政策补助，并由村或县、乡选派护林人员进行代管，根据退耕农户整改结果和商议的意见，明确管护人员和责任，再兑现与管护任务挂钩的政策补助。</w:t>
      </w:r>
    </w:p>
    <w:p w14:paraId="1A969E9C">
      <w:pPr>
        <w:widowControl/>
        <w:shd w:val="clear" w:color="auto" w:fill="FFFFFF"/>
        <w:ind w:firstLine="482"/>
        <w:jc w:val="left"/>
        <w:rPr>
          <w:rFonts w:ascii="宋体" w:hAnsi="宋体" w:cs="宋体"/>
          <w:kern w:val="0"/>
          <w:szCs w:val="21"/>
        </w:rPr>
      </w:pPr>
      <w:r>
        <w:rPr>
          <w:rFonts w:hint="eastAsia" w:ascii="仿宋_GB2312" w:hAnsi="宋体" w:eastAsia="仿宋_GB2312" w:cs="宋体"/>
          <w:b/>
          <w:bCs/>
          <w:kern w:val="0"/>
          <w:szCs w:val="21"/>
        </w:rPr>
        <w:t xml:space="preserve">第七条 </w:t>
      </w:r>
      <w:r>
        <w:rPr>
          <w:rFonts w:hint="eastAsia" w:ascii="仿宋_GB2312" w:hAnsi="宋体" w:eastAsia="仿宋_GB2312" w:cs="宋体"/>
          <w:kern w:val="0"/>
          <w:szCs w:val="21"/>
        </w:rPr>
        <w:t>对原补助政策到期的退耕还林面积，由县级林业主管部门负责组织进行全面自查，自治区林业主管部门负责组织进行检查验收。具体验收办法依据国家林业局的规定执行。</w:t>
      </w:r>
    </w:p>
    <w:p w14:paraId="2A5E15D4">
      <w:pPr>
        <w:widowControl/>
        <w:shd w:val="clear" w:color="auto" w:fill="FFFFFF"/>
        <w:ind w:firstLine="482"/>
        <w:jc w:val="left"/>
        <w:rPr>
          <w:rFonts w:ascii="宋体" w:hAnsi="宋体" w:cs="宋体"/>
          <w:kern w:val="0"/>
          <w:szCs w:val="21"/>
        </w:rPr>
      </w:pPr>
      <w:r>
        <w:rPr>
          <w:rFonts w:hint="eastAsia" w:ascii="仿宋_GB2312" w:hAnsi="宋体" w:eastAsia="仿宋_GB2312" w:cs="宋体"/>
          <w:b/>
          <w:bCs/>
          <w:kern w:val="0"/>
          <w:szCs w:val="21"/>
        </w:rPr>
        <w:t>第八条</w:t>
      </w:r>
      <w:r>
        <w:rPr>
          <w:rFonts w:hint="eastAsia" w:ascii="仿宋_GB2312" w:hAnsi="宋体" w:eastAsia="仿宋_GB2312" w:cs="宋体"/>
          <w:kern w:val="0"/>
          <w:szCs w:val="21"/>
        </w:rPr>
        <w:t xml:space="preserve"> 对2004-2007年到期的补助资金，依据财政部核定的补助经费预算一次性补齐；对2007年以后到期的补助资金，依据财政部核定的补助资金预算和自治区林业局组织验收结果，逐年下达预算指标。</w:t>
      </w:r>
    </w:p>
    <w:p w14:paraId="2F273431">
      <w:pPr>
        <w:widowControl/>
        <w:shd w:val="clear" w:color="auto" w:fill="FFFFFF"/>
        <w:ind w:firstLine="482"/>
        <w:jc w:val="left"/>
        <w:rPr>
          <w:rFonts w:ascii="宋体" w:hAnsi="宋体" w:cs="宋体"/>
          <w:kern w:val="0"/>
          <w:szCs w:val="21"/>
        </w:rPr>
      </w:pPr>
      <w:r>
        <w:rPr>
          <w:rFonts w:hint="eastAsia" w:ascii="仿宋_GB2312" w:hAnsi="宋体" w:eastAsia="仿宋_GB2312" w:cs="宋体"/>
          <w:b/>
          <w:bCs/>
          <w:kern w:val="0"/>
          <w:szCs w:val="21"/>
        </w:rPr>
        <w:t xml:space="preserve">第九条 </w:t>
      </w:r>
      <w:r>
        <w:rPr>
          <w:rFonts w:hint="eastAsia" w:ascii="仿宋_GB2312" w:hAnsi="宋体" w:eastAsia="仿宋_GB2312" w:cs="宋体"/>
          <w:kern w:val="0"/>
          <w:szCs w:val="21"/>
        </w:rPr>
        <w:t>为做好退耕还林工程检查验收和退耕地管护责任的核查工作，自治区及各市、县（区）财政部门按照退耕还林面积，每年安排一定的工作经费，用于检查验收和退耕地管护情况核查。其工作经费每亩不得低于1元，其中自治区和县级财政安排工作经费每亩各不低于0.5元。</w:t>
      </w:r>
      <w:r>
        <w:rPr>
          <w:rFonts w:hint="eastAsia" w:ascii="仿宋_GB2312" w:hAnsi="宋体" w:eastAsia="仿宋_GB2312" w:cs="宋体"/>
          <w:b/>
          <w:bCs/>
          <w:kern w:val="0"/>
          <w:szCs w:val="21"/>
        </w:rPr>
        <w:t xml:space="preserve"> </w:t>
      </w:r>
    </w:p>
    <w:p w14:paraId="6FD2CF3A">
      <w:pPr>
        <w:widowControl/>
        <w:shd w:val="clear" w:color="auto" w:fill="FFFFFF"/>
        <w:ind w:firstLine="482"/>
        <w:jc w:val="left"/>
        <w:rPr>
          <w:rFonts w:ascii="宋体" w:hAnsi="宋体" w:cs="宋体"/>
          <w:kern w:val="0"/>
          <w:szCs w:val="21"/>
        </w:rPr>
      </w:pPr>
      <w:r>
        <w:rPr>
          <w:rFonts w:hint="eastAsia" w:ascii="仿宋_GB2312" w:hAnsi="宋体" w:eastAsia="仿宋_GB2312" w:cs="宋体"/>
          <w:b/>
          <w:bCs/>
          <w:kern w:val="0"/>
          <w:szCs w:val="21"/>
        </w:rPr>
        <w:t xml:space="preserve">第十条 </w:t>
      </w:r>
      <w:r>
        <w:rPr>
          <w:rFonts w:hint="eastAsia" w:ascii="仿宋_GB2312" w:hAnsi="宋体" w:eastAsia="仿宋_GB2312" w:cs="宋体"/>
          <w:kern w:val="0"/>
          <w:szCs w:val="21"/>
        </w:rPr>
        <w:t>市县财政部门依据林业部门提供的验收合格的分户验收清册，按照自治区《政府直补农民专项资金管理办法》有关规定，及时将补助资金通过政府直补农民 “一卡通”账户，直接补助到户。林业管护人员工资按照林业部门提供的人员名单实行“一卡通”发放。</w:t>
      </w:r>
    </w:p>
    <w:p w14:paraId="36594572">
      <w:pPr>
        <w:widowControl/>
        <w:shd w:val="clear" w:color="auto" w:fill="FFFFFF"/>
        <w:ind w:firstLine="482"/>
        <w:jc w:val="left"/>
        <w:rPr>
          <w:rFonts w:ascii="宋体" w:hAnsi="宋体" w:cs="宋体"/>
          <w:kern w:val="0"/>
          <w:szCs w:val="21"/>
        </w:rPr>
      </w:pPr>
      <w:r>
        <w:rPr>
          <w:rFonts w:hint="eastAsia" w:ascii="仿宋_GB2312" w:hAnsi="宋体" w:eastAsia="仿宋_GB2312" w:cs="宋体"/>
          <w:b/>
          <w:bCs/>
          <w:kern w:val="0"/>
          <w:szCs w:val="21"/>
        </w:rPr>
        <w:t xml:space="preserve">第十一条 </w:t>
      </w:r>
      <w:r>
        <w:rPr>
          <w:rFonts w:hint="eastAsia" w:ascii="仿宋_GB2312" w:hAnsi="宋体" w:eastAsia="仿宋_GB2312" w:cs="宋体"/>
          <w:kern w:val="0"/>
          <w:szCs w:val="21"/>
        </w:rPr>
        <w:t>退耕还林原补助政策尚未到期的粮食补助资金，继续按《国务院办公厅关于完善退耕还林粮食补助办法的通知》</w:t>
      </w:r>
      <w:bookmarkStart w:id="13" w:name="_GoBack"/>
      <w:bookmarkEnd w:id="13"/>
      <w:r>
        <w:rPr>
          <w:rFonts w:hint="eastAsia" w:ascii="仿宋_GB2312" w:hAnsi="宋体" w:eastAsia="仿宋_GB2312" w:cs="宋体"/>
          <w:kern w:val="0"/>
          <w:szCs w:val="21"/>
        </w:rPr>
        <w:t>和财政部等部委《关于退耕还林 退牧还草禁牧舍饲粮食补助改现金后有关财政财务处理问题的紧急通知》（财建明电[2004]2号）等有关规定执行。</w:t>
      </w:r>
    </w:p>
    <w:p w14:paraId="387CA521">
      <w:pPr>
        <w:widowControl/>
        <w:shd w:val="clear" w:color="auto" w:fill="FFFFFF"/>
        <w:ind w:firstLine="480"/>
        <w:jc w:val="left"/>
        <w:rPr>
          <w:rFonts w:ascii="宋体" w:hAnsi="宋体" w:cs="宋体"/>
          <w:kern w:val="0"/>
          <w:szCs w:val="21"/>
        </w:rPr>
      </w:pPr>
      <w:r>
        <w:rPr>
          <w:rFonts w:hint="eastAsia" w:ascii="仿宋_GB2312" w:hAnsi="宋体" w:eastAsia="仿宋_GB2312" w:cs="宋体"/>
          <w:kern w:val="0"/>
          <w:szCs w:val="21"/>
        </w:rPr>
        <w:t>退耕还林原补助政策尚未到期的现金补助，继续按《财政部关于印发〈退耕还林工程现金补助资金管理办法〉的通知》（财农[2002]156号）等有关规定执行。</w:t>
      </w:r>
    </w:p>
    <w:p w14:paraId="0D99584E">
      <w:pPr>
        <w:widowControl/>
        <w:shd w:val="clear" w:color="auto" w:fill="FFFFFF"/>
        <w:ind w:firstLine="482"/>
        <w:jc w:val="left"/>
        <w:rPr>
          <w:rFonts w:ascii="宋体" w:hAnsi="宋体" w:cs="宋体"/>
          <w:kern w:val="0"/>
          <w:szCs w:val="21"/>
        </w:rPr>
      </w:pPr>
      <w:r>
        <w:rPr>
          <w:rFonts w:hint="eastAsia" w:ascii="仿宋_GB2312" w:hAnsi="宋体" w:eastAsia="仿宋_GB2312" w:cs="宋体"/>
          <w:b/>
          <w:bCs/>
          <w:kern w:val="0"/>
          <w:szCs w:val="21"/>
        </w:rPr>
        <w:t>第十二条</w:t>
      </w:r>
      <w:r>
        <w:rPr>
          <w:rFonts w:hint="eastAsia" w:ascii="仿宋_GB2312" w:hAnsi="宋体" w:eastAsia="仿宋_GB2312" w:cs="宋体"/>
          <w:kern w:val="0"/>
          <w:szCs w:val="21"/>
        </w:rPr>
        <w:t xml:space="preserve"> 补助资金实行分帐核算、专款专用，任何部门和单位不得套取、挤占、截留和挪用。</w:t>
      </w:r>
    </w:p>
    <w:p w14:paraId="0ED98710">
      <w:pPr>
        <w:widowControl/>
        <w:shd w:val="clear" w:color="auto" w:fill="FFFFFF"/>
        <w:ind w:firstLine="482"/>
        <w:jc w:val="left"/>
        <w:rPr>
          <w:rFonts w:ascii="宋体" w:hAnsi="宋体" w:cs="宋体"/>
          <w:kern w:val="0"/>
          <w:szCs w:val="21"/>
        </w:rPr>
      </w:pPr>
      <w:r>
        <w:rPr>
          <w:rFonts w:hint="eastAsia" w:ascii="仿宋_GB2312" w:hAnsi="宋体" w:eastAsia="仿宋_GB2312" w:cs="宋体"/>
          <w:b/>
          <w:bCs/>
          <w:kern w:val="0"/>
          <w:szCs w:val="21"/>
        </w:rPr>
        <w:t xml:space="preserve">第十三条 </w:t>
      </w:r>
      <w:r>
        <w:rPr>
          <w:rFonts w:hint="eastAsia" w:ascii="仿宋_GB2312" w:hAnsi="宋体" w:eastAsia="仿宋_GB2312" w:cs="宋体"/>
          <w:kern w:val="0"/>
          <w:szCs w:val="21"/>
        </w:rPr>
        <w:t>各级财政和林业部门要加强对补助资金的使用和管理情况监督检查，发现问题及时纠正。对违反资金使用规定，挤占、截留、挪用、虚报冒领或造成资金损失的单位和个人，按照《财政违法行为处罚处分条例》（国务院令第427号）、《宁夏回族自治区专项资金监督管理办法》（自治区政府第69号）和《关于专项资金管理使用中违纪违规行为党纪政纪处分规定》（宁党办[2006]54号）等有关法律、行政法规和制度严肃查处。</w:t>
      </w:r>
    </w:p>
    <w:p w14:paraId="23307EF0">
      <w:pPr>
        <w:widowControl/>
        <w:shd w:val="clear" w:color="auto" w:fill="FFFFFF"/>
        <w:ind w:firstLine="482"/>
        <w:jc w:val="left"/>
        <w:rPr>
          <w:rFonts w:ascii="宋体" w:hAnsi="宋体" w:cs="宋体"/>
          <w:kern w:val="0"/>
          <w:szCs w:val="21"/>
        </w:rPr>
      </w:pPr>
      <w:r>
        <w:rPr>
          <w:rFonts w:hint="eastAsia" w:ascii="仿宋_GB2312" w:hAnsi="宋体" w:eastAsia="仿宋_GB2312" w:cs="宋体"/>
          <w:b/>
          <w:bCs/>
          <w:kern w:val="0"/>
          <w:szCs w:val="21"/>
        </w:rPr>
        <w:t>第十四条</w:t>
      </w:r>
      <w:r>
        <w:rPr>
          <w:rFonts w:hint="eastAsia" w:ascii="仿宋_GB2312" w:hAnsi="宋体" w:eastAsia="仿宋_GB2312" w:cs="宋体"/>
          <w:kern w:val="0"/>
          <w:szCs w:val="21"/>
        </w:rPr>
        <w:t xml:space="preserve"> 本实施细则由自治区财政厅负责解释。</w:t>
      </w:r>
    </w:p>
    <w:p w14:paraId="061846D8">
      <w:pPr>
        <w:widowControl/>
        <w:shd w:val="clear" w:color="auto" w:fill="FFFFFF"/>
        <w:ind w:firstLine="482"/>
        <w:jc w:val="left"/>
        <w:rPr>
          <w:rFonts w:ascii="宋体" w:hAnsi="宋体" w:cs="宋体"/>
          <w:kern w:val="0"/>
          <w:szCs w:val="21"/>
        </w:rPr>
      </w:pPr>
      <w:r>
        <w:rPr>
          <w:rFonts w:hint="eastAsia" w:ascii="仿宋_GB2312" w:hAnsi="宋体" w:eastAsia="仿宋_GB2312" w:cs="宋体"/>
          <w:b/>
          <w:bCs/>
          <w:kern w:val="0"/>
          <w:szCs w:val="21"/>
        </w:rPr>
        <w:t>第十五条</w:t>
      </w:r>
      <w:r>
        <w:rPr>
          <w:rFonts w:hint="eastAsia" w:ascii="仿宋_GB2312" w:hAnsi="宋体" w:eastAsia="仿宋_GB2312" w:cs="宋体"/>
          <w:kern w:val="0"/>
          <w:szCs w:val="21"/>
        </w:rPr>
        <w:t xml:space="preserve"> 本实施细则自发布之日起实施。</w:t>
      </w:r>
    </w:p>
    <w:p w14:paraId="38B41883">
      <w:pPr>
        <w:tabs>
          <w:tab w:val="left" w:pos="1120"/>
        </w:tabs>
        <w:jc w:val="center"/>
        <w:rPr>
          <w:rFonts w:ascii="宋体" w:hAnsi="宋体"/>
          <w:szCs w:val="21"/>
          <w:u w:val="single"/>
        </w:rPr>
      </w:pPr>
    </w:p>
    <w:p w14:paraId="4D7BDCAD">
      <w:pPr>
        <w:tabs>
          <w:tab w:val="left" w:pos="1120"/>
        </w:tabs>
        <w:jc w:val="center"/>
        <w:rPr>
          <w:rFonts w:ascii="宋体" w:hAnsi="宋体"/>
          <w:szCs w:val="21"/>
          <w:u w:val="single"/>
        </w:rPr>
      </w:pPr>
    </w:p>
    <w:p w14:paraId="377D51AF">
      <w:pPr>
        <w:tabs>
          <w:tab w:val="left" w:pos="1120"/>
        </w:tabs>
        <w:jc w:val="center"/>
        <w:rPr>
          <w:rFonts w:ascii="宋体" w:hAnsi="宋体"/>
          <w:szCs w:val="21"/>
          <w:u w:val="single"/>
        </w:rPr>
      </w:pPr>
    </w:p>
    <w:p w14:paraId="2AC6B47B">
      <w:pPr>
        <w:tabs>
          <w:tab w:val="left" w:pos="1120"/>
        </w:tabs>
        <w:jc w:val="center"/>
        <w:rPr>
          <w:rFonts w:ascii="宋体" w:hAnsi="宋体"/>
          <w:szCs w:val="21"/>
          <w:u w:val="single"/>
        </w:rPr>
      </w:pPr>
    </w:p>
    <w:p w14:paraId="14C57350">
      <w:pPr>
        <w:tabs>
          <w:tab w:val="left" w:pos="1120"/>
        </w:tabs>
        <w:jc w:val="center"/>
        <w:rPr>
          <w:rFonts w:ascii="宋体" w:hAnsi="宋体"/>
          <w:szCs w:val="21"/>
          <w:u w:val="single"/>
        </w:rPr>
      </w:pPr>
    </w:p>
    <w:p w14:paraId="3A6AB759">
      <w:pPr>
        <w:tabs>
          <w:tab w:val="left" w:pos="1120"/>
        </w:tabs>
        <w:jc w:val="center"/>
        <w:rPr>
          <w:rFonts w:ascii="宋体" w:hAnsi="宋体"/>
          <w:szCs w:val="21"/>
          <w:u w:val="single"/>
        </w:rPr>
      </w:pPr>
    </w:p>
    <w:p w14:paraId="293DD3AF">
      <w:pPr>
        <w:tabs>
          <w:tab w:val="left" w:pos="1120"/>
        </w:tabs>
        <w:jc w:val="center"/>
        <w:rPr>
          <w:rFonts w:ascii="宋体" w:hAnsi="宋体"/>
          <w:szCs w:val="21"/>
          <w:u w:val="single"/>
        </w:rPr>
      </w:pPr>
    </w:p>
    <w:p w14:paraId="4854819F">
      <w:pPr>
        <w:tabs>
          <w:tab w:val="left" w:pos="1120"/>
        </w:tabs>
        <w:jc w:val="center"/>
        <w:rPr>
          <w:rFonts w:ascii="宋体" w:hAnsi="宋体"/>
          <w:szCs w:val="21"/>
          <w:u w:val="single"/>
        </w:rPr>
      </w:pPr>
    </w:p>
    <w:p w14:paraId="3CA7146A">
      <w:pPr>
        <w:tabs>
          <w:tab w:val="left" w:pos="1120"/>
        </w:tabs>
        <w:jc w:val="center"/>
        <w:rPr>
          <w:rFonts w:ascii="宋体" w:hAnsi="宋体"/>
          <w:szCs w:val="21"/>
          <w:u w:val="single"/>
        </w:rPr>
      </w:pPr>
    </w:p>
    <w:p w14:paraId="363D9854">
      <w:pPr>
        <w:tabs>
          <w:tab w:val="left" w:pos="1120"/>
        </w:tabs>
        <w:jc w:val="center"/>
        <w:rPr>
          <w:rFonts w:ascii="宋体" w:hAnsi="宋体"/>
          <w:szCs w:val="21"/>
          <w:u w:val="single"/>
        </w:rPr>
      </w:pPr>
    </w:p>
    <w:p w14:paraId="1C22829D">
      <w:pPr>
        <w:tabs>
          <w:tab w:val="left" w:pos="1120"/>
        </w:tabs>
        <w:jc w:val="center"/>
        <w:rPr>
          <w:rFonts w:ascii="宋体" w:hAnsi="宋体"/>
          <w:szCs w:val="21"/>
          <w:u w:val="single"/>
        </w:rPr>
      </w:pPr>
    </w:p>
    <w:p w14:paraId="7EE34A86">
      <w:pPr>
        <w:tabs>
          <w:tab w:val="left" w:pos="1120"/>
        </w:tabs>
        <w:jc w:val="center"/>
        <w:rPr>
          <w:rFonts w:ascii="宋体" w:hAnsi="宋体"/>
          <w:szCs w:val="21"/>
          <w:u w:val="single"/>
        </w:rPr>
      </w:pPr>
    </w:p>
    <w:p w14:paraId="398927E7">
      <w:pPr>
        <w:tabs>
          <w:tab w:val="left" w:pos="1120"/>
        </w:tabs>
        <w:jc w:val="center"/>
        <w:rPr>
          <w:rFonts w:ascii="宋体" w:hAnsi="宋体"/>
          <w:szCs w:val="21"/>
          <w:u w:val="single"/>
        </w:rPr>
      </w:pPr>
    </w:p>
    <w:p w14:paraId="38F54E80">
      <w:pPr>
        <w:tabs>
          <w:tab w:val="left" w:pos="1120"/>
        </w:tabs>
        <w:jc w:val="center"/>
        <w:rPr>
          <w:rFonts w:ascii="宋体" w:hAnsi="宋体"/>
          <w:szCs w:val="21"/>
          <w:u w:val="single"/>
        </w:rPr>
      </w:pPr>
    </w:p>
    <w:p w14:paraId="440BC5FB">
      <w:pPr>
        <w:tabs>
          <w:tab w:val="left" w:pos="1120"/>
        </w:tabs>
        <w:jc w:val="center"/>
        <w:rPr>
          <w:rFonts w:ascii="宋体" w:hAnsi="宋体"/>
          <w:szCs w:val="21"/>
          <w:u w:val="single"/>
        </w:rPr>
      </w:pPr>
    </w:p>
    <w:p w14:paraId="7B879F34">
      <w:pPr>
        <w:tabs>
          <w:tab w:val="left" w:pos="1120"/>
        </w:tabs>
        <w:jc w:val="center"/>
        <w:rPr>
          <w:rFonts w:ascii="宋体" w:hAnsi="宋体"/>
          <w:szCs w:val="21"/>
          <w:u w:val="single"/>
        </w:rPr>
      </w:pPr>
    </w:p>
    <w:p w14:paraId="416BA594">
      <w:pPr>
        <w:tabs>
          <w:tab w:val="left" w:pos="1120"/>
        </w:tabs>
        <w:jc w:val="center"/>
        <w:rPr>
          <w:rFonts w:ascii="宋体" w:hAnsi="宋体"/>
          <w:szCs w:val="21"/>
          <w:u w:val="single"/>
        </w:rPr>
      </w:pPr>
    </w:p>
    <w:p w14:paraId="55C8114B">
      <w:pPr>
        <w:tabs>
          <w:tab w:val="left" w:pos="1120"/>
        </w:tabs>
        <w:jc w:val="center"/>
        <w:rPr>
          <w:rFonts w:ascii="宋体" w:hAnsi="宋体"/>
          <w:szCs w:val="21"/>
          <w:u w:val="single"/>
        </w:rPr>
      </w:pPr>
    </w:p>
    <w:p w14:paraId="61CA379F">
      <w:pPr>
        <w:tabs>
          <w:tab w:val="left" w:pos="1120"/>
        </w:tabs>
        <w:jc w:val="center"/>
        <w:rPr>
          <w:rFonts w:ascii="宋体" w:hAnsi="宋体"/>
          <w:szCs w:val="21"/>
          <w:u w:val="single"/>
        </w:rPr>
      </w:pPr>
    </w:p>
    <w:p w14:paraId="1D960F49">
      <w:pPr>
        <w:tabs>
          <w:tab w:val="left" w:pos="1120"/>
        </w:tabs>
        <w:jc w:val="center"/>
        <w:rPr>
          <w:rFonts w:ascii="宋体" w:hAnsi="宋体"/>
          <w:szCs w:val="21"/>
          <w:u w:val="single"/>
        </w:rPr>
      </w:pPr>
    </w:p>
    <w:p w14:paraId="47E5D8B9">
      <w:pPr>
        <w:widowControl/>
        <w:spacing w:before="100" w:beforeAutospacing="1" w:after="100" w:afterAutospacing="1" w:line="390" w:lineRule="atLeast"/>
        <w:ind w:firstLine="450"/>
        <w:jc w:val="center"/>
        <w:rPr>
          <w:rFonts w:ascii="黑体" w:hAnsi="黑体" w:eastAsia="黑体" w:cs="宋体"/>
          <w:color w:val="333333"/>
          <w:kern w:val="0"/>
          <w:sz w:val="32"/>
          <w:szCs w:val="32"/>
        </w:rPr>
      </w:pPr>
      <w:r>
        <w:rPr>
          <w:rFonts w:ascii="黑体" w:hAnsi="黑体" w:eastAsia="黑体" w:cs="宋体"/>
          <w:color w:val="333333"/>
          <w:kern w:val="0"/>
          <w:sz w:val="32"/>
          <w:szCs w:val="32"/>
        </w:rPr>
        <w:t>宁夏回族自治区大中型水库移民后期扶持政策实施方案</w:t>
      </w:r>
    </w:p>
    <w:p w14:paraId="67B88B1A">
      <w:pPr>
        <w:widowControl/>
        <w:spacing w:before="100" w:beforeAutospacing="1" w:after="100" w:afterAutospacing="1" w:line="390" w:lineRule="atLeast"/>
        <w:ind w:firstLine="450"/>
        <w:jc w:val="center"/>
        <w:rPr>
          <w:rFonts w:ascii="微软雅黑" w:hAnsi="微软雅黑" w:cs="宋体"/>
          <w:color w:val="333333"/>
          <w:kern w:val="0"/>
          <w:szCs w:val="21"/>
        </w:rPr>
      </w:pPr>
      <w:r>
        <w:rPr>
          <w:rFonts w:ascii="微软雅黑" w:hAnsi="微软雅黑" w:cs="宋体"/>
          <w:color w:val="333333"/>
          <w:kern w:val="0"/>
          <w:szCs w:val="21"/>
        </w:rPr>
        <w:t>宁政发[2007]19号</w:t>
      </w:r>
    </w:p>
    <w:p w14:paraId="13E1BE8F">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根据《国务院关于完善大中型水库移民后期扶持政策的意见》（国发〔2006〕17号）和《国家发展改革委办公厅、水利部办公厅关于印发大中型水库移民后期扶持政策有关配套文件的通知》（发改办农经〔2006〕1249号）精神，结合宁夏大中型水库移民现状，特制定本方案。</w:t>
      </w:r>
    </w:p>
    <w:p w14:paraId="2DF5557F">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一、宁夏大中型水库移民现状及落实后期扶持政策的指导思想、原则和工作目标</w:t>
      </w:r>
    </w:p>
    <w:p w14:paraId="64F032D2">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（一）大中型水库移民现状</w:t>
      </w:r>
    </w:p>
    <w:p w14:paraId="4A86AC92">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中央核定我区20座大中型水库移民10.35万人，其中包括</w:t>
      </w:r>
      <w:r>
        <w:fldChar w:fldCharType="begin"/>
      </w:r>
      <w:r>
        <w:instrText xml:space="preserve"> HYPERLINK "http://www.9ask.cn/sanmenxia/" \t "_blank" </w:instrText>
      </w:r>
      <w:r>
        <w:fldChar w:fldCharType="separate"/>
      </w:r>
      <w:r>
        <w:rPr>
          <w:rFonts w:ascii="微软雅黑" w:hAnsi="微软雅黑" w:cs="宋体"/>
          <w:color w:val="136EC2"/>
          <w:kern w:val="0"/>
          <w:szCs w:val="21"/>
        </w:rPr>
        <w:t>三门峡</w:t>
      </w:r>
      <w:r>
        <w:rPr>
          <w:rFonts w:ascii="微软雅黑" w:hAnsi="微软雅黑" w:cs="宋体"/>
          <w:color w:val="136EC2"/>
          <w:kern w:val="0"/>
          <w:szCs w:val="21"/>
        </w:rPr>
        <w:fldChar w:fldCharType="end"/>
      </w:r>
      <w:r>
        <w:rPr>
          <w:rFonts w:ascii="微软雅黑" w:hAnsi="微软雅黑" w:cs="宋体"/>
          <w:color w:val="333333"/>
          <w:kern w:val="0"/>
          <w:szCs w:val="21"/>
        </w:rPr>
        <w:t>库区搬迁到我区的移民。这些水库绝大多数建于上世纪五六十年代，主要分布于</w:t>
      </w:r>
      <w:r>
        <w:fldChar w:fldCharType="begin"/>
      </w:r>
      <w:r>
        <w:instrText xml:space="preserve"> HYPERLINK "http://www.9ask.cn/nx/" \t "_blank" </w:instrText>
      </w:r>
      <w:r>
        <w:fldChar w:fldCharType="separate"/>
      </w:r>
      <w:r>
        <w:rPr>
          <w:rFonts w:ascii="微软雅黑" w:hAnsi="微软雅黑" w:cs="宋体"/>
          <w:color w:val="136EC2"/>
          <w:kern w:val="0"/>
          <w:szCs w:val="21"/>
        </w:rPr>
        <w:t>宁夏</w:t>
      </w:r>
      <w:r>
        <w:rPr>
          <w:rFonts w:ascii="微软雅黑" w:hAnsi="微软雅黑" w:cs="宋体"/>
          <w:color w:val="136EC2"/>
          <w:kern w:val="0"/>
          <w:szCs w:val="21"/>
        </w:rPr>
        <w:fldChar w:fldCharType="end"/>
      </w:r>
      <w:r>
        <w:rPr>
          <w:rFonts w:ascii="微软雅黑" w:hAnsi="微软雅黑" w:cs="宋体"/>
          <w:color w:val="333333"/>
          <w:kern w:val="0"/>
          <w:szCs w:val="21"/>
        </w:rPr>
        <w:t>南部山区，移民主要以后靠和插花方式在灌区和山区安置。由于当时国家缺乏统一的水库移民安置、补偿政策，移民安置、补偿标准低，移民区基础设施较差，普遍存在“灌溉难、饮水难、行路难、上学难、就医难”等问题。据调查，移民人均耕地仅为2亩左右，且多为中低产田，粮食产量极不稳定，人均纯收入1000多元，尚处在解决温饱问题阶段，其中贫困线以下移民约占10％。宁南山区为少数民族集聚区和革命老区，妥善解决好水库移民安置遗留问题，对确保该地区社会稳定具有十分重要意义。</w:t>
      </w:r>
    </w:p>
    <w:p w14:paraId="590F3819">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（二）指导思想和基本原则</w:t>
      </w:r>
    </w:p>
    <w:p w14:paraId="0FDD387D">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1、指导思想</w:t>
      </w:r>
    </w:p>
    <w:p w14:paraId="06DB39D4">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以邓小平理论和“三个代表”重要思想为指导，坚持以人为本，全面贯彻落实科学发展观，按照开发式移民方针，完善扶持方式，加大扶持力度，改善移民生产生活条件，保障移民合法权益，逐步建立促进水库移民增收、库区经济发展、农村社会稳定的长效机制，使水库移民共享改革发展成果，实现库区和移民安置区经济社会可持续发展。</w:t>
      </w:r>
    </w:p>
    <w:p w14:paraId="43BC72ED">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2、基本原则</w:t>
      </w:r>
    </w:p>
    <w:p w14:paraId="57660B50">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坚持统筹兼顾新建和已建大中型水库移民；坚持国家扶持与移民自力更生相结合；坚持前期补偿与后期扶持相结合；坚持后期扶持与建设社会主义新农村相结合；坚持自治区人民政府负总责，市、县（区）各级政府分级负责；坚持统一政策、综合规划、突出重点、试点先行、整体推进。</w:t>
      </w:r>
    </w:p>
    <w:p w14:paraId="153EFC89">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（三）工作目标</w:t>
      </w:r>
    </w:p>
    <w:p w14:paraId="7713FEC2">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通过对水库移民的后期扶持，形成移民安置区经济社会发展的长效机制，使移民具备自我发展的能力，移民生产、生活条件得到明显改善，移民生活水平不断提高。</w:t>
      </w:r>
    </w:p>
    <w:p w14:paraId="1ECAA66E">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??近期目标：重点解决水库移民的温饱问题以及库区和移民安置区饮水、灌溉等基础设施薄弱的突出问题。用5年左右时间使贫困和特困移民脱贫，生产、生活稳定。</w:t>
      </w:r>
    </w:p>
    <w:p w14:paraId="0CD05434">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??中长期目标：进一步加强库区和移民安置区基础设施建设和生态环境建设，改善移民生产生活条件，促进经济发展，增加移民收入。用15年左右实现移民生活富裕、生产发展，逐步达到当地农村平均水平。</w:t>
      </w:r>
    </w:p>
    <w:p w14:paraId="664A589F">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二、落实大中型水库移民后期扶持政策的措施和办法</w:t>
      </w:r>
    </w:p>
    <w:p w14:paraId="356B9F46">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（四）移民人口核定、登记</w:t>
      </w:r>
    </w:p>
    <w:p w14:paraId="72D0FE89">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水库移民人口核定登记工作实行分级负责，属地管理。自治区根据《国家发展改革委办公厅、水利部办公厅关于大中型水库农村移民后期扶持人口核定登记工作的意见》（发改办农经〔2006〕1249号）,制定《宁夏回族自治区大中型水库农村移民后期扶持人口核定登记办法》，自治区水库移民工作领导小组负责指导全区的水库移民人口核定登记工作。</w:t>
      </w:r>
    </w:p>
    <w:p w14:paraId="6A14C1EF">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1、原则</w:t>
      </w:r>
    </w:p>
    <w:p w14:paraId="6C740E9D">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坚持尊重历史，尊重事实；坚持公开、公平、公正；坚持以原始的规划设计文件、搬迁安置登记文件、工程竣工验收文件、户籍档案资料为依据，准确、全面地核定大中型水库移民人数，具体到村，落实到人。</w:t>
      </w:r>
    </w:p>
    <w:p w14:paraId="63A22DF4">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2、核定登记对象</w:t>
      </w:r>
    </w:p>
    <w:p w14:paraId="40D26637">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后期扶持范围为中央核定的大中型水库的农村移民。其中，2006年6月30日前搬迁的水库移民为现状人口，2006年7月1日以后搬迁的水库移民为原迁人口。</w:t>
      </w:r>
    </w:p>
    <w:p w14:paraId="37BF10C2">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3、程序和方法</w:t>
      </w:r>
    </w:p>
    <w:p w14:paraId="3CC25B3F">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（1）自治区水库移民工作领导小组召开会议，安排部署人口核定登记工作，并做好水库移民后期扶持政策的宣传。</w:t>
      </w:r>
    </w:p>
    <w:p w14:paraId="55D1ED4C">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（2）自治区、市、县（区）水库移民管理机构组织学习水库移民后期扶持政策、人口核定登记办法等，对各级工作组成员进行培训。</w:t>
      </w:r>
    </w:p>
    <w:p w14:paraId="0326F684">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（3）分水库、分村进驻工作组，采取多种形式宣传水库移民后期扶持有关政策。</w:t>
      </w:r>
    </w:p>
    <w:p w14:paraId="0D624AA3">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4）以户为基本单元，逐人逐户逐村进行调查、登记。人口核定登记结果，由移民户主签字认可，移民组、村、乡、县（区）、市各级负责人分别签章确认。人口核定登记结果分别在村民小组、行政村、乡张榜公示，对核定登记结果有异议的人员进行复查、核定、再公示。</w:t>
      </w:r>
    </w:p>
    <w:p w14:paraId="18EAF028">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（5）无法核实到人的，要说明无法核实的原因，并以村组为单位登记造册。</w:t>
      </w:r>
    </w:p>
    <w:p w14:paraId="2D6ADC95">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各县（市、区）水库移民工作领导小组负责辖区水库移民人口核定登记工作，移民管理机构具体组织实施。</w:t>
      </w:r>
    </w:p>
    <w:p w14:paraId="4124D751">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4、扶持期内移民人口变化的调整</w:t>
      </w:r>
    </w:p>
    <w:p w14:paraId="4F872FC4">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对纳入后期扶持的移民人口每年进行一次核定调整。对已死亡的或转为非农业户口等移民进行核减。</w:t>
      </w:r>
    </w:p>
    <w:p w14:paraId="78F039BC">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（五）扶持标准和扶持期限</w:t>
      </w:r>
    </w:p>
    <w:p w14:paraId="03C2C04D">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1、扶持标准</w:t>
      </w:r>
    </w:p>
    <w:p w14:paraId="4BEAA8F2">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对纳入扶持范围的移民扶持标准为每人每年600元。</w:t>
      </w:r>
    </w:p>
    <w:p w14:paraId="76F939A0">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2、扶持期限</w:t>
      </w:r>
    </w:p>
    <w:p w14:paraId="1DD529DB">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对2006年6月30日前搬迁的纳入扶持范围的移民，自2006年7月1日起再扶持20年；对2006年7月1日以后搬迁的纳入扶持范围的移民，从其完成搬迁之日起扶持20年。</w:t>
      </w:r>
    </w:p>
    <w:p w14:paraId="6F6384D9">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3、扶持资金的筹集</w:t>
      </w:r>
    </w:p>
    <w:p w14:paraId="32BA959B">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（1）提高自治区级电网公司在</w:t>
      </w:r>
      <w:r>
        <w:fldChar w:fldCharType="begin"/>
      </w:r>
      <w:r>
        <w:instrText xml:space="preserve"> HYPERLINK "http://www.9ask.cn/nx/" \t "_blank" </w:instrText>
      </w:r>
      <w:r>
        <w:fldChar w:fldCharType="separate"/>
      </w:r>
      <w:r>
        <w:rPr>
          <w:rFonts w:ascii="微软雅黑" w:hAnsi="微软雅黑" w:cs="宋体"/>
          <w:color w:val="136EC2"/>
          <w:kern w:val="0"/>
          <w:szCs w:val="21"/>
        </w:rPr>
        <w:t>宁夏</w:t>
      </w:r>
      <w:r>
        <w:rPr>
          <w:rFonts w:ascii="微软雅黑" w:hAnsi="微软雅黑" w:cs="宋体"/>
          <w:color w:val="136EC2"/>
          <w:kern w:val="0"/>
          <w:szCs w:val="21"/>
        </w:rPr>
        <w:fldChar w:fldCharType="end"/>
      </w:r>
      <w:r>
        <w:rPr>
          <w:rFonts w:ascii="微软雅黑" w:hAnsi="微软雅黑" w:cs="宋体"/>
          <w:color w:val="333333"/>
          <w:kern w:val="0"/>
          <w:szCs w:val="21"/>
        </w:rPr>
        <w:t>区域内全部销售电量（扣除农业生产用电）的电价，严格按照国务院有关文件规定执行，一次核定，不再调整，提价收入专项用于水库移民后期扶持。</w:t>
      </w:r>
    </w:p>
    <w:p w14:paraId="29E8BB48">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（2）提高电价形成的增值税增收部分专项用于水库移民后期扶持。</w:t>
      </w:r>
    </w:p>
    <w:p w14:paraId="7441AAC4">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（3）2006年7月1日以后搬迁的纳入扶持范围的水库移民所需后期扶持资金出现缺口，由中央统筹解决。</w:t>
      </w:r>
    </w:p>
    <w:p w14:paraId="33B582C8">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（六）扶持方式</w:t>
      </w:r>
    </w:p>
    <w:p w14:paraId="67929B76">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1、扶持原则</w:t>
      </w:r>
    </w:p>
    <w:p w14:paraId="4CDEF7AA">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一是确保社会稳定；二是尊重历史，实事求是，因地制宜，多途径、多方式妥善解决水库移民搬迁安置后生产生活中的实际困难和问题；三是充分体现社会平等原则，使移民与非移民共享改革发展成果；四是坚持国家扶持与移民自力更生相结合。</w:t>
      </w:r>
    </w:p>
    <w:p w14:paraId="0305B544">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2、扶持方式</w:t>
      </w:r>
    </w:p>
    <w:p w14:paraId="5DDED002">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依据《国务院关于完善大中型水库移民后期扶持政策的意见》（国发〔2006〕17号）精神，结合宁夏实际情况，确定扶持方式主要有直接补助资金、项目扶持及直补与项目扶持相结合方式。具体方式由县级人民政府在充分尊重移民意愿并听取移民村群众意见的基础上确定，并编制切实可行的水库移民后期扶持规划。</w:t>
      </w:r>
    </w:p>
    <w:p w14:paraId="42A45881">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对2006年6月30日前搬迁的纳入扶持范围的移民，基本采取直接补助与项目扶持相结合的扶持方式；对2006年7月1日以后搬迁的纳入扶持范围的移民，采取直接补助资金的扶持方式。根据后期扶持工作目标变化，适当调整扶持方式。</w:t>
      </w:r>
    </w:p>
    <w:p w14:paraId="54D570ED">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（1）直接补助资金方式</w:t>
      </w:r>
    </w:p>
    <w:p w14:paraId="56E2F1FD">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采取直接补助资金的方式，必须能够准确地界定移民身份，核实到人，实际工作中能够处理好移民与移民村群众的关系，不引发移民与移民村群众的攀比。移民后期扶持资金按年审核，按季发放，以“一卡通”的形式直接兑现到人。县（市、区）水库移民管理机构建立直补人员档案，报县（市、区）审核后，上报市、自治区备案。自治区选择金融机构，设立后期扶持基金专户，将补助资金足额及时划入移民个人账户。</w:t>
      </w:r>
    </w:p>
    <w:p w14:paraId="5F1D14F2">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（2）项目扶持方式</w:t>
      </w:r>
    </w:p>
    <w:p w14:paraId="766C4BAA">
      <w:pPr>
        <w:widowControl/>
        <w:ind w:firstLine="450"/>
        <w:jc w:val="left"/>
        <w:rPr>
          <w:rFonts w:ascii="微软雅黑" w:hAnsi="微软雅黑" w:cs="宋体"/>
          <w:color w:val="333333"/>
          <w:kern w:val="0"/>
          <w:szCs w:val="21"/>
        </w:rPr>
      </w:pPr>
      <w:r>
        <w:rPr>
          <w:rFonts w:hint="eastAsia" w:ascii="宋体" w:hAnsi="宋体" w:cs="宋体"/>
          <w:color w:val="333333"/>
          <w:kern w:val="0"/>
          <w:szCs w:val="21"/>
        </w:rPr>
        <w:t>①</w:t>
      </w:r>
      <w:r>
        <w:rPr>
          <w:rFonts w:ascii="微软雅黑" w:hAnsi="微软雅黑" w:cs="宋体"/>
          <w:color w:val="333333"/>
          <w:kern w:val="0"/>
          <w:szCs w:val="21"/>
        </w:rPr>
        <w:t>各县（市、区）要以村为单元、以县为单位，在经过绝大多数移民同意的基础上，确定扶持项目。按照统筹规划、分步实施的原则，结合移民安置区基础设施建设和经济发展规划，编制项目扶持规划，纳入后期扶持规划。后期扶持规划经各县（市、区）论证评审后，上报自治区水库移民管理办公室组织审查，自治区发展改革委会同水利厅批复。</w:t>
      </w:r>
    </w:p>
    <w:p w14:paraId="5876332F">
      <w:pPr>
        <w:widowControl/>
        <w:ind w:firstLine="450"/>
        <w:jc w:val="left"/>
        <w:rPr>
          <w:rFonts w:ascii="微软雅黑" w:hAnsi="微软雅黑" w:cs="宋体"/>
          <w:color w:val="333333"/>
          <w:kern w:val="0"/>
          <w:szCs w:val="21"/>
        </w:rPr>
      </w:pPr>
      <w:r>
        <w:rPr>
          <w:rFonts w:hint="eastAsia" w:ascii="宋体" w:hAnsi="宋体" w:cs="宋体"/>
          <w:color w:val="333333"/>
          <w:kern w:val="0"/>
          <w:szCs w:val="21"/>
        </w:rPr>
        <w:t>②</w:t>
      </w:r>
      <w:r>
        <w:rPr>
          <w:rFonts w:ascii="微软雅黑" w:hAnsi="微软雅黑" w:cs="宋体"/>
          <w:color w:val="333333"/>
          <w:kern w:val="0"/>
          <w:szCs w:val="21"/>
        </w:rPr>
        <w:t>县（市、区）水库移民管理机构按年度上报项目建设计划，自治区水库移民管理办公室组织进行审查，自治区发展改革委会同水利厅等部门联合下达。县（市、区）水库移民管理机构负责组织项目实施。自治区水库移民管理办公室负责监督、指导、检查、验收。</w:t>
      </w:r>
    </w:p>
    <w:p w14:paraId="3AC165D0">
      <w:pPr>
        <w:widowControl/>
        <w:ind w:firstLine="450"/>
        <w:jc w:val="left"/>
        <w:rPr>
          <w:rFonts w:ascii="微软雅黑" w:hAnsi="微软雅黑" w:cs="宋体"/>
          <w:color w:val="333333"/>
          <w:kern w:val="0"/>
          <w:szCs w:val="21"/>
        </w:rPr>
      </w:pPr>
      <w:r>
        <w:rPr>
          <w:rFonts w:hint="eastAsia" w:ascii="宋体" w:hAnsi="宋体" w:cs="宋体"/>
          <w:color w:val="333333"/>
          <w:kern w:val="0"/>
          <w:szCs w:val="21"/>
        </w:rPr>
        <w:t>③</w:t>
      </w:r>
      <w:r>
        <w:rPr>
          <w:rFonts w:ascii="微软雅黑" w:hAnsi="微软雅黑" w:cs="宋体"/>
          <w:color w:val="333333"/>
          <w:kern w:val="0"/>
          <w:szCs w:val="21"/>
        </w:rPr>
        <w:t>自治区及各县（市、区）财政部门和水库移民管理机构按照水库移民后期扶持资金管理的有关规定对项目资金进行管理。</w:t>
      </w:r>
    </w:p>
    <w:p w14:paraId="3601216B">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3、后期扶持规划编制</w:t>
      </w:r>
    </w:p>
    <w:p w14:paraId="3C860A32">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（1）各市、县（区）人民政府负责组织后期扶持规划编制工作。</w:t>
      </w:r>
    </w:p>
    <w:p w14:paraId="36E37589">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2）各县（市、区）以村为单元，以县（市、区）为单位，结合不同时期发展规划、不同行业的相关专项规划和后期扶持各阶段目标编制后期扶持规划，原则上每5年编制一次。后期规划目标与后期扶持目标相一致。</w:t>
      </w:r>
    </w:p>
    <w:p w14:paraId="29512D62">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（七）库区和移民安置区基础设施建设和经济发展规划编制</w:t>
      </w:r>
    </w:p>
    <w:p w14:paraId="65787538">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自治区组织县（市、区）编制库区和移民安置区基础设施建设和经济发展规划，规划要与宁夏实际相结合，符合当地基础设施建设和经济发展规划，服从自治区经济发展规划。</w:t>
      </w:r>
    </w:p>
    <w:p w14:paraId="1A60DB75">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（八）制定的相关配套文件</w:t>
      </w:r>
    </w:p>
    <w:p w14:paraId="770EAD4B">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1、2006年6月30日前制定的相关配套文件</w:t>
      </w:r>
    </w:p>
    <w:p w14:paraId="6D274CCF">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《宁夏回族自治区大中型水库移民后期扶持政策宣传提纲》，《宁夏回族自治区大中型水库农村移民后期扶持人口核定登记办法》；</w:t>
      </w:r>
    </w:p>
    <w:p w14:paraId="32FC6EEC">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2、2006年10月31日前制定的相关配套文件</w:t>
      </w:r>
    </w:p>
    <w:p w14:paraId="2CB564A0">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（1）宁夏回族自治区大中型水库移民后期扶持方式确定办法；</w:t>
      </w:r>
    </w:p>
    <w:p w14:paraId="3545998E">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（2）宁夏回族自治区大中型水库移民后期扶持政策试点工作实施方案；</w:t>
      </w:r>
    </w:p>
    <w:p w14:paraId="6391B31D">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（3）宁夏回族自治区大中型水库移民后期扶持政策宣传方案；</w:t>
      </w:r>
    </w:p>
    <w:p w14:paraId="25809256">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（4）宁夏回族自治区大中型水库移民后期扶持政策培训方案；</w:t>
      </w:r>
    </w:p>
    <w:p w14:paraId="71B459AA">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（5）宁夏回族自治区大中型水库移民后期扶持政策解答；</w:t>
      </w:r>
    </w:p>
    <w:p w14:paraId="0FB14B13">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（6）宁夏回族自治区大中型水库移民后期扶持资金使用管理办法；</w:t>
      </w:r>
    </w:p>
    <w:p w14:paraId="612C4EA8">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（7）宁夏回族自治区大中型水库移民后期扶持项目管理办法；</w:t>
      </w:r>
    </w:p>
    <w:p w14:paraId="54F9D304">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（8）宁夏回族自治区大中型水库移民后期扶持工作责任追究制度；</w:t>
      </w:r>
    </w:p>
    <w:p w14:paraId="6C7857E7">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（9）宁夏回族自治区大中型水库移民后期扶持信访工作制度；</w:t>
      </w:r>
    </w:p>
    <w:p w14:paraId="2C5D8A7C">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（10）宁夏回族自治区水库移民群体性上访事件应急处置预案。</w:t>
      </w:r>
    </w:p>
    <w:p w14:paraId="26FFD3BF">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三、大中型水库移民后期扶持政策试点工作安排</w:t>
      </w:r>
    </w:p>
    <w:p w14:paraId="55AB3B4C">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（九）试点工作</w:t>
      </w:r>
    </w:p>
    <w:p w14:paraId="10412245">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1、试点确定原则</w:t>
      </w:r>
    </w:p>
    <w:p w14:paraId="712D6D11">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一是选择具有特点、有代表性的县(市、区)；二是兼顾各种类型水库，新老水库结合，中央和地方水库结合;三是兼顾不同移民安置方式，既有集中安置，又有分散插花安置；四是兼顾各种扶持方式，既有直补的，又有项目扶持的。</w:t>
      </w:r>
    </w:p>
    <w:p w14:paraId="259EB0BE">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2、确定试点</w:t>
      </w:r>
    </w:p>
    <w:p w14:paraId="23C63FE7">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按照试点选择原则，结合宁夏水库移民现状，选择中宁县、彭阳县为试点，率先开展大中型水库移民后期扶持政策试点工作。</w:t>
      </w:r>
    </w:p>
    <w:p w14:paraId="2CCAE40B">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3、工作步骤</w:t>
      </w:r>
    </w:p>
    <w:p w14:paraId="65359F63">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成立组织、宣传政策、培训业务、核定登记人口、确定扶持方式、编制后期扶持规划、兑现扶持政策、总结经验等。</w:t>
      </w:r>
    </w:p>
    <w:p w14:paraId="3D3F4AC3">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试点工作于2007年1月中下旬启动实施。</w:t>
      </w:r>
    </w:p>
    <w:p w14:paraId="538B099D">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4、组织领导</w:t>
      </w:r>
    </w:p>
    <w:p w14:paraId="22714E3D">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在自治区水库移民工作领导小组的领导下，各试点县（市、区）政府成立相应的水库移民工作领导小组，政府领导任组长，水利、发展改革、财政、宣传、机构编制、监察、民政、公安、劳动和社会保障、人口和计生、审计、信访等部门及相关乡（镇）主要负责人为成员。成立相应的水库移民管理机构，组织开展试点工作。</w:t>
      </w:r>
    </w:p>
    <w:p w14:paraId="6175D90C">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（十）试点水库的基本情况、工作重点</w:t>
      </w:r>
    </w:p>
    <w:p w14:paraId="3089F4D8">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1、中宁县位于宁夏中部，是水库移民安置大县，主要有青铜峡、</w:t>
      </w:r>
      <w:r>
        <w:fldChar w:fldCharType="begin"/>
      </w:r>
      <w:r>
        <w:instrText xml:space="preserve"> HYPERLINK "http://www.9ask.cn/sanmenxia/" \t "_blank" </w:instrText>
      </w:r>
      <w:r>
        <w:fldChar w:fldCharType="separate"/>
      </w:r>
      <w:r>
        <w:rPr>
          <w:rFonts w:ascii="微软雅黑" w:hAnsi="微软雅黑" w:cs="宋体"/>
          <w:color w:val="136EC2"/>
          <w:kern w:val="0"/>
          <w:szCs w:val="21"/>
        </w:rPr>
        <w:t>三门峡</w:t>
      </w:r>
      <w:r>
        <w:rPr>
          <w:rFonts w:ascii="微软雅黑" w:hAnsi="微软雅黑" w:cs="宋体"/>
          <w:color w:val="136EC2"/>
          <w:kern w:val="0"/>
          <w:szCs w:val="21"/>
        </w:rPr>
        <w:fldChar w:fldCharType="end"/>
      </w:r>
      <w:r>
        <w:rPr>
          <w:rFonts w:ascii="微软雅黑" w:hAnsi="微软雅黑" w:cs="宋体"/>
          <w:color w:val="333333"/>
          <w:kern w:val="0"/>
          <w:szCs w:val="21"/>
        </w:rPr>
        <w:t>和长山头3座水库移民。移民主要分布在白马、鸣沙、宁安、舟塔和石空等乡镇的21个村、107个村民党小组。移民村组大多地处山坡和河滩地带，生产、生活基础设施差，生活水平低。目前全县移民人均耕地仅为1.3亩，且60％的耕地为提水灌溉，农业生产成本大，收益低。据县农调队2005年农民收入调查，移民区人均收入为2013元，是全县人均纯收入的61%。</w:t>
      </w:r>
    </w:p>
    <w:p w14:paraId="7B2420CB">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2、彭阳县位于我区南部边缘，彭阳县是</w:t>
      </w:r>
      <w:r>
        <w:fldChar w:fldCharType="begin"/>
      </w:r>
      <w:r>
        <w:instrText xml:space="preserve"> HYPERLINK "http://www.9ask.cn/nx/" \t "_blank" </w:instrText>
      </w:r>
      <w:r>
        <w:fldChar w:fldCharType="separate"/>
      </w:r>
      <w:r>
        <w:rPr>
          <w:rFonts w:ascii="微软雅黑" w:hAnsi="微软雅黑" w:cs="宋体"/>
          <w:color w:val="136EC2"/>
          <w:kern w:val="0"/>
          <w:szCs w:val="21"/>
        </w:rPr>
        <w:t>宁夏</w:t>
      </w:r>
      <w:r>
        <w:rPr>
          <w:rFonts w:ascii="微软雅黑" w:hAnsi="微软雅黑" w:cs="宋体"/>
          <w:color w:val="136EC2"/>
          <w:kern w:val="0"/>
          <w:szCs w:val="21"/>
        </w:rPr>
        <w:fldChar w:fldCharType="end"/>
      </w:r>
      <w:r>
        <w:rPr>
          <w:rFonts w:ascii="微软雅黑" w:hAnsi="微软雅黑" w:cs="宋体"/>
          <w:color w:val="333333"/>
          <w:kern w:val="0"/>
          <w:szCs w:val="21"/>
        </w:rPr>
        <w:t>南部山区水库移民安置的重点县，主要安置店洼、乃河、庙台、石头崾岘4座水库移民，移民主要分布在彭阳县白阳镇、古城镇、交岔乡。耕地大多为山坡地，生产条件艰苦，人畜饮水困难，对外交通条件较差，信息闭塞，移民人均旱作耕地仅4亩左右，且90％的耕地为山坡地，无灌溉设施，粮食产量低而不稳，严重制约着当地经济社会发展。据县农调队2005年农民收入调查，移民区人均收入为1030元，是全县人均纯收入的58.4%。</w:t>
      </w:r>
    </w:p>
    <w:p w14:paraId="3237AED0">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3、处理相关事件的对策措施</w:t>
      </w:r>
    </w:p>
    <w:p w14:paraId="6F0B71BB">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一是提前制定应对突发事件处置预案；二是加强政策宣传，做耐心细致的解释和说服教育工作；三是充分发挥基层党群组织的作用。</w:t>
      </w:r>
    </w:p>
    <w:p w14:paraId="773BECCA">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（十一）试点工作干部队伍建立和培训</w:t>
      </w:r>
    </w:p>
    <w:p w14:paraId="2D59BD2A">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1、干部队伍组成、领导和责任</w:t>
      </w:r>
    </w:p>
    <w:p w14:paraId="4A21C66A">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各试点县（市、区）从有关部门、乡（镇）、村抽派干部组成试点工作小组，在各级水库移民工作领导小组的统一领导下，按照试点工作方案和各个阶段的工作要求，进村入户，各负其责，深入细致地做好试点水库移民后期扶持政策试点工作。</w:t>
      </w:r>
    </w:p>
    <w:p w14:paraId="1EA9EE49">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2、人员培训</w:t>
      </w:r>
    </w:p>
    <w:p w14:paraId="2C898519">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采取多种形式，分期分批对试点县（市、区）的领导、水库移民管理机构干部和工作小组成员，进行政策宣传和业务培训。重点学习中央及自治区有关水库移民后期扶持政策、规定。统一思想，提高认识，吃透政策，领会精神，明确各阶段工作目标和任务。</w:t>
      </w:r>
    </w:p>
    <w:p w14:paraId="4CA58D70">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四、落实后期扶持政策的保障措施</w:t>
      </w:r>
    </w:p>
    <w:p w14:paraId="12DDC850">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（十二）组织领导机构和工作机构</w:t>
      </w:r>
    </w:p>
    <w:p w14:paraId="35B7EF0F">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1、成立“自治区水库移民工作领导小组”</w:t>
      </w:r>
    </w:p>
    <w:p w14:paraId="2D38DA6B">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自治区人民政府成立“自治区水库移民工作领导小组”。</w:t>
      </w:r>
    </w:p>
    <w:p w14:paraId="2D908EC7">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组长:赵廷杰自治区人民政府副主席</w:t>
      </w:r>
    </w:p>
    <w:p w14:paraId="1C42EE7A">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副组长:郭进挺自治区人民政府副秘书长</w:t>
      </w:r>
    </w:p>
    <w:p w14:paraId="72F0D8A7">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袁进琳自治区水利厅厅长</w:t>
      </w:r>
    </w:p>
    <w:p w14:paraId="2D8226E3">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马明自治区发展改革委副主任</w:t>
      </w:r>
    </w:p>
    <w:p w14:paraId="01CE37FC">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路芳自治区财政厅副厅长</w:t>
      </w:r>
    </w:p>
    <w:p w14:paraId="5EA2510F">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成员:自治区监察厅、党委宣传部、编办、信访局、物价局、公安厅、民政厅、劳动和社会保障厅、水利厅、计生委、审计厅、电力公司、农垦局等部门、单位负责人和有关市人民政府领导。</w:t>
      </w:r>
    </w:p>
    <w:p w14:paraId="3527C858">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各有关市、县（区）要成立相应的水库移民工作领导小组。</w:t>
      </w:r>
    </w:p>
    <w:p w14:paraId="4B3BD619">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2、建立完善移民管理机构</w:t>
      </w:r>
    </w:p>
    <w:p w14:paraId="2CCB8345">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自治区水库移民工作领导小组在水利厅设立办事机构，将现有的“宁夏青铜峡水库移民办公室”更名为“宁夏水库移民管理办公室”，承办具体工作。其主要职责是：</w:t>
      </w:r>
    </w:p>
    <w:p w14:paraId="766C3C85">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（1）贯彻落实水库移民工作领导小组决定，承办日常工作；</w:t>
      </w:r>
    </w:p>
    <w:p w14:paraId="4635EE4B">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（2）组织、指导全区水库移民后期扶持工作；</w:t>
      </w:r>
    </w:p>
    <w:p w14:paraId="32A80B4D">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（3）负责全区水库移民后期扶持规划及库区和移民安置区基础设施建设和经济发展规划的编制和审查工作；负责全区水库移民扶持项目建设管理工作；</w:t>
      </w:r>
    </w:p>
    <w:p w14:paraId="486B55EC">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（4）负责水库移民后期扶持政策解读和培训工作，协助有关部门做好政策宣传和社会稳定工作；</w:t>
      </w:r>
    </w:p>
    <w:p w14:paraId="54A4642F">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（5）监督、指导全区新建水库移民管理工作，审查、审批移民安置规划及实施方案，监督实施，组织验收；</w:t>
      </w:r>
    </w:p>
    <w:p w14:paraId="174F9229">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（6）组织全区水库移民管理工作的后期评估。</w:t>
      </w:r>
    </w:p>
    <w:p w14:paraId="579064EF">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有关市、县（区）要成立相应的水库移民管理机构，设在水行政主管部门，承办日常工作。</w:t>
      </w:r>
    </w:p>
    <w:p w14:paraId="4DAC248D">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3、加强领导、精心组织、明确责任</w:t>
      </w:r>
    </w:p>
    <w:p w14:paraId="4FEE1DD0">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（1）加强领导。自治区和市、县（区）政府要高度重视水库移民工作，切实加强对水库移民后期扶持工作的领导。</w:t>
      </w:r>
    </w:p>
    <w:p w14:paraId="7FF79F87">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2）明确责任。机构编制部门负责落实水库移民管理机构和人员；财政部门负责落实水库移民工作经费；监察、审计部门提前介入，加强监督检查；有关部门各负其责，制定出台相应的配套文件；水库移民管理机构制定完善相关制度、办法，积极稳妥推进工作。</w:t>
      </w:r>
    </w:p>
    <w:p w14:paraId="6E22BBD0">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（3）自治区与有关县（市、区）签订责任书，明确任务，落实责任，确保水库移民后期扶持工作顺利开展，确保社会稳定。</w:t>
      </w:r>
    </w:p>
    <w:p w14:paraId="409542A2">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（十三）充分发挥市、县（区）、乡（镇）人民政府及村民自治组织的作用</w:t>
      </w:r>
    </w:p>
    <w:p w14:paraId="12D26EE2">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1、按照分级负责、属地管理的原则，有关市、县（区）人民政府是本地水库移民后期扶持工作的责任主体、工作主体和实施主体，主要领导是第一责任人，分管领导是重要责任人。</w:t>
      </w:r>
    </w:p>
    <w:p w14:paraId="56DDD1B2">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2、乡级人民政府要积极主动参与水库移民后期扶持工作，认真宣传贯彻落实有关政策，密切注视辖区移民群众的情绪动向，对不稳定因素早发现、早处理、早消除，把矛盾化解在基层、解决在当地、消除在萌芽状态。</w:t>
      </w:r>
    </w:p>
    <w:p w14:paraId="044326C4">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3、村级组织要积极参与相关工作，充分发挥桥梁和纽带作用，如实反映社情民意，贴近群众，耐心做好说服教育、政策讲解工作，努力化解矛盾。积极带领广大移民群众自力更生，艰苦奋斗，努力改善生产生活条件，不断提高生产生活水平。</w:t>
      </w:r>
    </w:p>
    <w:p w14:paraId="785AD3BA">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（十四）妥善解决其他问题</w:t>
      </w:r>
    </w:p>
    <w:p w14:paraId="5412F35F">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大中型水库移民后期扶持政策的实施，可能带来一些连带影响，引发新的矛盾，影响社会稳定。因此必须要制定相应的对策措施，妥善予以解决。</w:t>
      </w:r>
    </w:p>
    <w:p w14:paraId="4AA4FCA4">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1、对大中型水库非农业户口移民中生活确实困难的，经民政部门核实，符合国务院《城市居民最低生活保障条例》有关规定的，按程序纳入城镇最低生活保障，做到应保尽保。</w:t>
      </w:r>
    </w:p>
    <w:p w14:paraId="1C4F1E81">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2、通过提高自治区区域内全部销售电量（扣除农业生产用电）的电价筹集资金，统筹解决小型水库移民的困难，具体方案另行制定，待中央批准后实施。</w:t>
      </w:r>
    </w:p>
    <w:p w14:paraId="78CFF4E2">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3、完善水库移民后期扶持政策可能对其他征地拆迁人口产生影响，地方各级人民政府要高度重视，密切关注，做好宣传解释工作，并采取多种措施，及时解决他们生产生活中遇到的实际困难，妥善化解矛盾，维护社会稳定。</w:t>
      </w:r>
    </w:p>
    <w:p w14:paraId="6459623E">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（十五）努力化解库区和移民安置区不稳定因素</w:t>
      </w:r>
    </w:p>
    <w:p w14:paraId="3D842FE4">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1、积极预防并妥善处置突发事件</w:t>
      </w:r>
    </w:p>
    <w:p w14:paraId="4514B54B">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各级人民政府、水库移民管理机构及有关部门要把维护社会稳定作为移民工作的重点，把不出现群体性事件作为移民工作的基本要求，高度重视，依法办事，建立健全突发事件应急处理机制，落实应急处置措施，制定应急方案。</w:t>
      </w:r>
    </w:p>
    <w:p w14:paraId="6B69EFF7">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2、做好已有大中型水库移民扶持政策和水库移民后期扶持政策的衔接和过渡工作。</w:t>
      </w:r>
    </w:p>
    <w:p w14:paraId="791365C2">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3、落实突发事件应急处置资金</w:t>
      </w:r>
    </w:p>
    <w:p w14:paraId="1AC7F472">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自治区及市、县（区）人民政府采取多种措施，积极筹集突发事件应急处置资金，同时申请中央从国家水库移民后期扶持基金中安排专项资金用于处置突发事件。</w:t>
      </w:r>
    </w:p>
    <w:p w14:paraId="32A995E2">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4、认真贯彻落实《信访条例》</w:t>
      </w:r>
    </w:p>
    <w:p w14:paraId="0AD1FB7B">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畅通信访渠道，开通信访热线，使水库移民群众能够依法通过正当渠道反映合理合法要求。对移民反映的问题做好解释工作，及时研究答复，疏导情绪，化解矛盾，解决困难，预防各种矛盾的积累和激化。</w:t>
      </w:r>
    </w:p>
    <w:p w14:paraId="781F756A">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同时，坚决打击极少数借机闹事、破坏社会稳定的不法行为。</w:t>
      </w:r>
    </w:p>
    <w:p w14:paraId="67DD37AB">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（十六）加强宣传工作</w:t>
      </w:r>
    </w:p>
    <w:p w14:paraId="201A5E5F">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1、宣传形式</w:t>
      </w:r>
    </w:p>
    <w:p w14:paraId="44DE32C6">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一是制定大中型水库移民后期扶持政策宣传办法；二是召开水库移民后期扶持工作会议；三是组织学习，开展培训工作；四是深入库区和移民安置区，采取多种形式开展宣传、讲解工作。</w:t>
      </w:r>
    </w:p>
    <w:p w14:paraId="30B6B94B">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特别是在与移民群众面对面开展工作时，要积极采取组织宣传队、印发宣传资料、张贴宣传标语、公布咨询电话、设立现场咨询点等形式，深入细致地开展宣传工作。</w:t>
      </w:r>
    </w:p>
    <w:p w14:paraId="663B2EF5">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2、宣传要求</w:t>
      </w:r>
    </w:p>
    <w:p w14:paraId="29D58862">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在各级水库移民工作领导小组的领导下广泛开展宣传工作，扎扎实实做好舆论宣传工作。宣传的内容要与政策保持高度一致。坚持正确的舆论导向，做到政策贯彻落实“四统一”，即“口径统一、解释统一、时间统一、程序统一”，严肃宣传纪律，防止炒作，维护社会稳定。</w:t>
      </w:r>
    </w:p>
    <w:p w14:paraId="52F75755">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3、时间安排</w:t>
      </w:r>
    </w:p>
    <w:p w14:paraId="2BE77C26">
      <w:pPr>
        <w:widowControl/>
        <w:ind w:firstLine="450"/>
        <w:jc w:val="left"/>
        <w:rPr>
          <w:rFonts w:ascii="微软雅黑" w:hAnsi="微软雅黑" w:cs="宋体"/>
          <w:color w:val="333333"/>
          <w:kern w:val="0"/>
          <w:szCs w:val="21"/>
        </w:rPr>
      </w:pPr>
      <w:r>
        <w:rPr>
          <w:rFonts w:ascii="微软雅黑" w:hAnsi="微软雅黑" w:cs="宋体"/>
          <w:color w:val="333333"/>
          <w:kern w:val="0"/>
          <w:szCs w:val="21"/>
        </w:rPr>
        <w:t>自治区人民政府于2007年3月召开全区水库移民工作会议，传达国家有关水库移民后期扶持政策的精神，安排部署全区水库移民后期扶持工作，全面启动水库移民人口核定登记工作，与此同时开展全方位的宣传工作。</w:t>
      </w:r>
    </w:p>
    <w:p w14:paraId="4634E4F2">
      <w:pPr>
        <w:tabs>
          <w:tab w:val="left" w:pos="1120"/>
        </w:tabs>
        <w:jc w:val="center"/>
        <w:rPr>
          <w:rFonts w:ascii="宋体" w:hAnsi="宋体"/>
          <w:szCs w:val="21"/>
          <w:u w:val="single"/>
        </w:rPr>
      </w:pPr>
    </w:p>
    <w:p w14:paraId="36450549">
      <w:pPr>
        <w:tabs>
          <w:tab w:val="left" w:pos="1120"/>
        </w:tabs>
        <w:jc w:val="center"/>
        <w:rPr>
          <w:rFonts w:ascii="宋体" w:hAnsi="宋体"/>
          <w:szCs w:val="21"/>
          <w:u w:val="single"/>
        </w:rPr>
      </w:pPr>
    </w:p>
    <w:p w14:paraId="31E2DA28">
      <w:pPr>
        <w:tabs>
          <w:tab w:val="left" w:pos="1120"/>
        </w:tabs>
        <w:jc w:val="center"/>
        <w:rPr>
          <w:rFonts w:ascii="宋体" w:hAnsi="宋体"/>
          <w:szCs w:val="21"/>
          <w:u w:val="single"/>
        </w:rPr>
      </w:pPr>
    </w:p>
    <w:p w14:paraId="56DF6FD7">
      <w:pPr>
        <w:tabs>
          <w:tab w:val="left" w:pos="1120"/>
        </w:tabs>
        <w:jc w:val="center"/>
        <w:rPr>
          <w:rFonts w:ascii="宋体" w:hAnsi="宋体"/>
          <w:szCs w:val="21"/>
          <w:u w:val="single"/>
        </w:rPr>
      </w:pPr>
    </w:p>
    <w:p w14:paraId="23D191C1">
      <w:pPr>
        <w:tabs>
          <w:tab w:val="left" w:pos="1120"/>
        </w:tabs>
        <w:jc w:val="center"/>
        <w:rPr>
          <w:rFonts w:ascii="宋体" w:hAnsi="宋体"/>
          <w:szCs w:val="21"/>
          <w:u w:val="single"/>
        </w:rPr>
      </w:pPr>
    </w:p>
    <w:p w14:paraId="4DADB04C">
      <w:pPr>
        <w:tabs>
          <w:tab w:val="left" w:pos="1120"/>
        </w:tabs>
        <w:jc w:val="center"/>
        <w:rPr>
          <w:rFonts w:ascii="宋体" w:hAnsi="宋体"/>
          <w:szCs w:val="21"/>
          <w:u w:val="single"/>
        </w:rPr>
      </w:pPr>
    </w:p>
    <w:p w14:paraId="630707DE">
      <w:pPr>
        <w:tabs>
          <w:tab w:val="left" w:pos="1120"/>
        </w:tabs>
        <w:jc w:val="center"/>
        <w:rPr>
          <w:rFonts w:ascii="宋体" w:hAnsi="宋体"/>
          <w:szCs w:val="21"/>
          <w:u w:val="single"/>
        </w:rPr>
      </w:pPr>
    </w:p>
    <w:p w14:paraId="683F4625">
      <w:pPr>
        <w:tabs>
          <w:tab w:val="left" w:pos="1120"/>
        </w:tabs>
        <w:jc w:val="center"/>
        <w:rPr>
          <w:rFonts w:ascii="宋体" w:hAnsi="宋体"/>
          <w:szCs w:val="21"/>
          <w:u w:val="single"/>
        </w:rPr>
      </w:pPr>
    </w:p>
    <w:p w14:paraId="07A9A1BA">
      <w:pPr>
        <w:tabs>
          <w:tab w:val="left" w:pos="1120"/>
        </w:tabs>
        <w:jc w:val="center"/>
        <w:rPr>
          <w:rFonts w:ascii="宋体" w:hAnsi="宋体"/>
          <w:szCs w:val="21"/>
          <w:u w:val="single"/>
        </w:rPr>
      </w:pPr>
    </w:p>
    <w:p w14:paraId="3B287068">
      <w:pPr>
        <w:tabs>
          <w:tab w:val="left" w:pos="1120"/>
        </w:tabs>
        <w:jc w:val="center"/>
        <w:rPr>
          <w:rFonts w:ascii="宋体" w:hAnsi="宋体"/>
          <w:szCs w:val="21"/>
          <w:u w:val="single"/>
        </w:rPr>
      </w:pPr>
    </w:p>
    <w:p w14:paraId="0B5684FD">
      <w:pPr>
        <w:tabs>
          <w:tab w:val="left" w:pos="1120"/>
        </w:tabs>
        <w:jc w:val="center"/>
        <w:rPr>
          <w:rFonts w:ascii="宋体" w:hAnsi="宋体"/>
          <w:szCs w:val="21"/>
          <w:u w:val="single"/>
        </w:rPr>
      </w:pPr>
    </w:p>
    <w:p w14:paraId="63687F9F">
      <w:pPr>
        <w:tabs>
          <w:tab w:val="left" w:pos="1120"/>
        </w:tabs>
        <w:jc w:val="center"/>
        <w:rPr>
          <w:rFonts w:ascii="宋体" w:hAnsi="宋体"/>
          <w:szCs w:val="21"/>
          <w:u w:val="single"/>
        </w:rPr>
      </w:pPr>
    </w:p>
    <w:p w14:paraId="6139258A">
      <w:pPr>
        <w:tabs>
          <w:tab w:val="left" w:pos="1120"/>
        </w:tabs>
        <w:jc w:val="center"/>
        <w:rPr>
          <w:rFonts w:ascii="宋体" w:hAnsi="宋体"/>
          <w:szCs w:val="21"/>
          <w:u w:val="single"/>
        </w:rPr>
      </w:pPr>
    </w:p>
    <w:p w14:paraId="4BD4634D">
      <w:pPr>
        <w:tabs>
          <w:tab w:val="left" w:pos="1120"/>
        </w:tabs>
        <w:jc w:val="center"/>
        <w:rPr>
          <w:rFonts w:ascii="宋体" w:hAnsi="宋体"/>
          <w:szCs w:val="21"/>
          <w:u w:val="single"/>
        </w:rPr>
      </w:pPr>
    </w:p>
    <w:p w14:paraId="4DA3F55F">
      <w:pPr>
        <w:tabs>
          <w:tab w:val="left" w:pos="1120"/>
        </w:tabs>
        <w:jc w:val="center"/>
        <w:rPr>
          <w:rFonts w:ascii="宋体" w:hAnsi="宋体"/>
          <w:szCs w:val="21"/>
          <w:u w:val="single"/>
        </w:rPr>
      </w:pPr>
    </w:p>
    <w:p w14:paraId="199F15EB">
      <w:pPr>
        <w:tabs>
          <w:tab w:val="left" w:pos="1120"/>
        </w:tabs>
        <w:jc w:val="center"/>
        <w:rPr>
          <w:rFonts w:ascii="宋体" w:hAnsi="宋体"/>
          <w:szCs w:val="21"/>
          <w:u w:val="single"/>
        </w:rPr>
      </w:pPr>
    </w:p>
    <w:p w14:paraId="0B84F09C">
      <w:pPr>
        <w:tabs>
          <w:tab w:val="left" w:pos="1120"/>
        </w:tabs>
        <w:jc w:val="center"/>
        <w:rPr>
          <w:rFonts w:ascii="宋体" w:hAnsi="宋体"/>
          <w:szCs w:val="21"/>
          <w:u w:val="single"/>
        </w:rPr>
      </w:pPr>
    </w:p>
    <w:p w14:paraId="45D02708">
      <w:pPr>
        <w:widowControl/>
        <w:spacing w:before="100" w:beforeAutospacing="1" w:after="100" w:afterAutospacing="1" w:line="360" w:lineRule="auto"/>
        <w:jc w:val="center"/>
        <w:rPr>
          <w:rFonts w:ascii="黑体" w:hAnsi="黑体" w:eastAsia="黑体" w:cs="宋体"/>
          <w:kern w:val="0"/>
          <w:sz w:val="32"/>
          <w:szCs w:val="32"/>
        </w:rPr>
      </w:pPr>
      <w:r>
        <w:rPr>
          <w:rFonts w:ascii="黑体" w:hAnsi="黑体" w:eastAsia="黑体" w:cs="宋体"/>
          <w:kern w:val="0"/>
          <w:sz w:val="32"/>
          <w:szCs w:val="32"/>
        </w:rPr>
        <w:t>宁夏回族自治区</w:t>
      </w:r>
      <w:r>
        <w:rPr>
          <w:rFonts w:hint="eastAsia" w:ascii="黑体" w:hAnsi="黑体" w:eastAsia="黑体" w:cs="宋体"/>
          <w:kern w:val="0"/>
          <w:sz w:val="32"/>
          <w:szCs w:val="32"/>
        </w:rPr>
        <w:br w:type="textWrapping"/>
      </w:r>
      <w:r>
        <w:rPr>
          <w:rFonts w:ascii="黑体" w:hAnsi="黑体" w:eastAsia="黑体" w:cs="宋体"/>
          <w:kern w:val="0"/>
          <w:sz w:val="32"/>
          <w:szCs w:val="32"/>
        </w:rPr>
        <w:t>农业机械购置补贴产品违规经营行为处理办法</w:t>
      </w:r>
      <w:r>
        <w:rPr>
          <w:rFonts w:hint="eastAsia" w:ascii="黑体" w:hAnsi="黑体" w:eastAsia="黑体" w:cs="宋体"/>
          <w:kern w:val="0"/>
          <w:sz w:val="32"/>
          <w:szCs w:val="32"/>
        </w:rPr>
        <w:t>(</w:t>
      </w:r>
      <w:r>
        <w:rPr>
          <w:rFonts w:ascii="黑体" w:hAnsi="黑体" w:eastAsia="黑体" w:cs="宋体"/>
          <w:kern w:val="0"/>
          <w:sz w:val="32"/>
          <w:szCs w:val="32"/>
        </w:rPr>
        <w:t>试行</w:t>
      </w:r>
      <w:r>
        <w:rPr>
          <w:rFonts w:hint="eastAsia" w:ascii="黑体" w:hAnsi="黑体" w:eastAsia="黑体" w:cs="宋体"/>
          <w:kern w:val="0"/>
          <w:sz w:val="32"/>
          <w:szCs w:val="32"/>
        </w:rPr>
        <w:t>)</w:t>
      </w:r>
    </w:p>
    <w:p w14:paraId="0CACD7F3">
      <w:pPr>
        <w:widowControl/>
        <w:jc w:val="center"/>
        <w:rPr>
          <w:rFonts w:ascii="ˎ̥" w:hAnsi="ˎ̥" w:cs="宋体"/>
          <w:kern w:val="0"/>
          <w:szCs w:val="21"/>
        </w:rPr>
      </w:pPr>
      <w:r>
        <w:rPr>
          <w:rFonts w:ascii="ˎ̥" w:hAnsi="ˎ̥" w:cs="宋体"/>
          <w:kern w:val="0"/>
          <w:szCs w:val="21"/>
        </w:rPr>
        <w:t>第一章  总  则</w:t>
      </w:r>
    </w:p>
    <w:p w14:paraId="20667843">
      <w:pPr>
        <w:widowControl/>
        <w:jc w:val="left"/>
        <w:rPr>
          <w:rFonts w:ascii="ˎ̥" w:hAnsi="ˎ̥" w:cs="宋体"/>
          <w:kern w:val="0"/>
          <w:szCs w:val="21"/>
        </w:rPr>
      </w:pPr>
      <w:r>
        <w:rPr>
          <w:rFonts w:ascii="ˎ̥" w:hAnsi="ˎ̥" w:cs="宋体"/>
          <w:kern w:val="0"/>
          <w:szCs w:val="21"/>
        </w:rPr>
        <w:t>　　第一条  为规范和加强对农机购置补贴产品经营违规行为的查处工作，确保农机购置补贴政策有效实施，根据《财政违法行为处罚处分条例》（国务院令第427号）、《中央对地方专项转移支付管理办法》（财预〔2015〕230号）、农业部、财政部办公厅《农业机械购置补贴产品违规经营行为处理办法（试行）》（农办财〔2017〕26号）等有关规定，结合我区实际，制定本办法。</w:t>
      </w:r>
    </w:p>
    <w:p w14:paraId="5767546F">
      <w:pPr>
        <w:widowControl/>
        <w:jc w:val="left"/>
        <w:rPr>
          <w:rFonts w:ascii="ˎ̥" w:hAnsi="ˎ̥" w:cs="宋体"/>
          <w:kern w:val="0"/>
          <w:szCs w:val="21"/>
        </w:rPr>
      </w:pPr>
      <w:r>
        <w:rPr>
          <w:rFonts w:ascii="ˎ̥" w:hAnsi="ˎ̥" w:cs="宋体"/>
          <w:kern w:val="0"/>
          <w:szCs w:val="21"/>
        </w:rPr>
        <w:t>　　第二条  本办法所称补贴产品，是指纳入宁夏回族自治区农机购置补贴范围，享受国家补贴政策的农机产品。</w:t>
      </w:r>
    </w:p>
    <w:p w14:paraId="28F971E0">
      <w:pPr>
        <w:widowControl/>
        <w:jc w:val="left"/>
        <w:rPr>
          <w:rFonts w:ascii="ˎ̥" w:hAnsi="ˎ̥" w:cs="宋体"/>
          <w:kern w:val="0"/>
          <w:szCs w:val="21"/>
        </w:rPr>
      </w:pPr>
      <w:r>
        <w:rPr>
          <w:rFonts w:ascii="ˎ̥" w:hAnsi="ˎ̥" w:cs="宋体"/>
          <w:kern w:val="0"/>
          <w:szCs w:val="21"/>
        </w:rPr>
        <w:t>　　第三条 本办法适用于查处农业机械生产企业、经销企业（以下简称“农机产销企业”）在参与农业机械购置补贴政策（以下简称“补贴政策”）实施中所发生的补贴产品违规经营行为，以及申请农机购置补贴的购机者（以下简称“购机者”）参与违规经营补贴产品的行为。</w:t>
      </w:r>
    </w:p>
    <w:p w14:paraId="1DA979F4">
      <w:pPr>
        <w:widowControl/>
        <w:jc w:val="left"/>
        <w:rPr>
          <w:rFonts w:ascii="ˎ̥" w:hAnsi="ˎ̥" w:cs="宋体"/>
          <w:kern w:val="0"/>
          <w:szCs w:val="21"/>
        </w:rPr>
      </w:pPr>
      <w:r>
        <w:rPr>
          <w:rFonts w:ascii="ˎ̥" w:hAnsi="ˎ̥" w:cs="宋体"/>
          <w:kern w:val="0"/>
          <w:szCs w:val="21"/>
        </w:rPr>
        <w:t>　　第四条  本办法所称补贴产品违规经营行为（以下简称“违规行为”），是指农机产销企业在补贴产品投档、补贴产品信息上传农机购置补贴辅助管理系统、补贴产品经营、参与补贴申领等过程中发生的违规行为，以及购机者参与违规经营已申领补贴的行为。</w:t>
      </w:r>
    </w:p>
    <w:p w14:paraId="0B6907FD">
      <w:pPr>
        <w:widowControl/>
        <w:jc w:val="left"/>
        <w:rPr>
          <w:rFonts w:ascii="ˎ̥" w:hAnsi="ˎ̥" w:cs="宋体"/>
          <w:kern w:val="0"/>
          <w:szCs w:val="21"/>
        </w:rPr>
      </w:pPr>
      <w:r>
        <w:rPr>
          <w:rFonts w:ascii="ˎ̥" w:hAnsi="ˎ̥" w:cs="宋体"/>
          <w:kern w:val="0"/>
          <w:szCs w:val="21"/>
        </w:rPr>
        <w:t>　　第五条  违规行为查处应当遵循实事求是、公开公正、程序规范、权责一致的原则，以违规行为发生地处理为主。</w:t>
      </w:r>
    </w:p>
    <w:p w14:paraId="019C602C">
      <w:pPr>
        <w:widowControl/>
        <w:jc w:val="left"/>
        <w:rPr>
          <w:rFonts w:ascii="ˎ̥" w:hAnsi="ˎ̥" w:cs="宋体"/>
          <w:kern w:val="0"/>
          <w:szCs w:val="21"/>
        </w:rPr>
      </w:pPr>
      <w:r>
        <w:rPr>
          <w:rFonts w:ascii="ˎ̥" w:hAnsi="ˎ̥" w:cs="宋体"/>
          <w:kern w:val="0"/>
          <w:szCs w:val="21"/>
        </w:rPr>
        <w:t>　　第六条  本办法由各级农机化、财政等部门按职责分工组织实施。适用于在调查发现、上级转办、举报投诉等过程中收集的各类违规行为的处理。</w:t>
      </w:r>
    </w:p>
    <w:p w14:paraId="69648B37">
      <w:pPr>
        <w:widowControl/>
        <w:jc w:val="left"/>
        <w:rPr>
          <w:rFonts w:ascii="ˎ̥" w:hAnsi="ˎ̥" w:cs="宋体"/>
          <w:kern w:val="0"/>
          <w:szCs w:val="21"/>
        </w:rPr>
      </w:pPr>
      <w:r>
        <w:rPr>
          <w:rFonts w:ascii="ˎ̥" w:hAnsi="ˎ̥" w:cs="宋体"/>
          <w:kern w:val="0"/>
          <w:szCs w:val="21"/>
        </w:rPr>
        <w:t>　　第七条  农机生产企业自主确定和公布补贴产品经销企业，指导监督其授权经销企业遵守补贴政策各项规定，并对经销企业的违规行为承担连带责任。农机产销企业自愿参与补贴政策实施，享有政策法规规定的合法权利，并承担以下责任义务。</w:t>
      </w:r>
    </w:p>
    <w:p w14:paraId="57B609D9">
      <w:pPr>
        <w:widowControl/>
        <w:jc w:val="left"/>
        <w:rPr>
          <w:rFonts w:ascii="ˎ̥" w:hAnsi="ˎ̥" w:cs="宋体"/>
          <w:kern w:val="0"/>
          <w:szCs w:val="21"/>
        </w:rPr>
      </w:pPr>
      <w:r>
        <w:rPr>
          <w:rFonts w:ascii="ˎ̥" w:hAnsi="ˎ̥" w:cs="宋体"/>
          <w:kern w:val="0"/>
          <w:szCs w:val="21"/>
        </w:rPr>
        <w:t>　　（一）遵守补贴政策相关规定，合法合规经营，不得有骗补、套补等违法违规行为；</w:t>
      </w:r>
    </w:p>
    <w:p w14:paraId="1854BE14">
      <w:pPr>
        <w:widowControl/>
        <w:jc w:val="left"/>
        <w:rPr>
          <w:rFonts w:ascii="ˎ̥" w:hAnsi="ˎ̥" w:cs="宋体"/>
          <w:kern w:val="0"/>
          <w:szCs w:val="21"/>
        </w:rPr>
      </w:pPr>
      <w:r>
        <w:rPr>
          <w:rFonts w:ascii="ˎ̥" w:hAnsi="ˎ̥" w:cs="宋体"/>
          <w:kern w:val="0"/>
          <w:szCs w:val="21"/>
        </w:rPr>
        <w:t>　　（二）正确宣传补贴政策，规范真实使用补贴产品标志标识，不误导购机者购置补贴产品，不参与购机者虚假申领补贴；</w:t>
      </w:r>
    </w:p>
    <w:p w14:paraId="4A2BEC71">
      <w:pPr>
        <w:widowControl/>
        <w:jc w:val="left"/>
        <w:rPr>
          <w:rFonts w:ascii="ˎ̥" w:hAnsi="ˎ̥" w:cs="宋体"/>
          <w:kern w:val="0"/>
          <w:szCs w:val="21"/>
        </w:rPr>
      </w:pPr>
      <w:r>
        <w:rPr>
          <w:rFonts w:ascii="ˎ̥" w:hAnsi="ˎ̥" w:cs="宋体"/>
          <w:kern w:val="0"/>
          <w:szCs w:val="21"/>
        </w:rPr>
        <w:t>　　（三）按补贴政策要求提供、保存真实完整的纸质和电子资料，供应符合规定的农机产品；</w:t>
      </w:r>
    </w:p>
    <w:p w14:paraId="06FAD421">
      <w:pPr>
        <w:widowControl/>
        <w:jc w:val="left"/>
        <w:rPr>
          <w:rFonts w:ascii="ˎ̥" w:hAnsi="ˎ̥" w:cs="宋体"/>
          <w:kern w:val="0"/>
          <w:szCs w:val="21"/>
        </w:rPr>
      </w:pPr>
      <w:r>
        <w:rPr>
          <w:rFonts w:ascii="ˎ̥" w:hAnsi="ˎ̥" w:cs="宋体"/>
          <w:kern w:val="0"/>
          <w:szCs w:val="21"/>
        </w:rPr>
        <w:t>　　（四）发现影响补贴政策实施的异常情况，应主动报告当地农机化主管部门，及时采取防范补救措施，并加强整改；</w:t>
      </w:r>
    </w:p>
    <w:p w14:paraId="7CB1D2F2">
      <w:pPr>
        <w:widowControl/>
        <w:jc w:val="left"/>
        <w:rPr>
          <w:rFonts w:ascii="ˎ̥" w:hAnsi="ˎ̥" w:cs="宋体"/>
          <w:kern w:val="0"/>
          <w:szCs w:val="21"/>
        </w:rPr>
      </w:pPr>
      <w:r>
        <w:rPr>
          <w:rFonts w:ascii="ˎ̥" w:hAnsi="ˎ̥" w:cs="宋体"/>
          <w:kern w:val="0"/>
          <w:szCs w:val="21"/>
        </w:rPr>
        <w:t>　　（五）对购机者符合规定的退（换）货要求，首先确认购机者尚未领取补贴或已将领取的补贴退回财政部门后，再为其办理退（换）货，并主动报告当地农机化、财政部门；</w:t>
      </w:r>
    </w:p>
    <w:p w14:paraId="651D876C">
      <w:pPr>
        <w:widowControl/>
        <w:jc w:val="left"/>
        <w:rPr>
          <w:rFonts w:ascii="ˎ̥" w:hAnsi="ˎ̥" w:cs="宋体"/>
          <w:kern w:val="0"/>
          <w:szCs w:val="21"/>
        </w:rPr>
      </w:pPr>
      <w:r>
        <w:rPr>
          <w:rFonts w:ascii="ˎ̥" w:hAnsi="ˎ̥" w:cs="宋体"/>
          <w:kern w:val="0"/>
          <w:szCs w:val="21"/>
        </w:rPr>
        <w:t>　　（六）承担违反政策规定所引起的纠纷和经济损失等后果，主动退回违规行为涉及的补贴资金，接受主管部门处理；</w:t>
      </w:r>
    </w:p>
    <w:p w14:paraId="16EC201A">
      <w:pPr>
        <w:widowControl/>
        <w:jc w:val="left"/>
        <w:rPr>
          <w:rFonts w:ascii="ˎ̥" w:hAnsi="ˎ̥" w:cs="宋体"/>
          <w:kern w:val="0"/>
          <w:szCs w:val="21"/>
        </w:rPr>
      </w:pPr>
      <w:r>
        <w:rPr>
          <w:rFonts w:ascii="ˎ̥" w:hAnsi="ˎ̥" w:cs="宋体"/>
          <w:kern w:val="0"/>
          <w:szCs w:val="21"/>
        </w:rPr>
        <w:t>　　（七）其他有关责任义务。</w:t>
      </w:r>
    </w:p>
    <w:p w14:paraId="020B1D23">
      <w:pPr>
        <w:widowControl/>
        <w:jc w:val="center"/>
        <w:rPr>
          <w:rFonts w:ascii="ˎ̥" w:hAnsi="ˎ̥" w:cs="宋体"/>
          <w:kern w:val="0"/>
          <w:szCs w:val="21"/>
        </w:rPr>
      </w:pPr>
      <w:r>
        <w:rPr>
          <w:rFonts w:ascii="ˎ̥" w:hAnsi="ˎ̥" w:cs="宋体"/>
          <w:kern w:val="0"/>
          <w:szCs w:val="21"/>
        </w:rPr>
        <w:t>第二章  违规行为类型</w:t>
      </w:r>
    </w:p>
    <w:p w14:paraId="0594997F">
      <w:pPr>
        <w:widowControl/>
        <w:jc w:val="left"/>
        <w:rPr>
          <w:rFonts w:ascii="ˎ̥" w:hAnsi="ˎ̥" w:cs="宋体"/>
          <w:kern w:val="0"/>
          <w:szCs w:val="21"/>
        </w:rPr>
      </w:pPr>
      <w:r>
        <w:rPr>
          <w:rFonts w:ascii="ˎ̥" w:hAnsi="ˎ̥" w:cs="宋体"/>
          <w:kern w:val="0"/>
          <w:szCs w:val="21"/>
        </w:rPr>
        <w:t>　　第八条  违规行为分较轻、较重和严重三类。</w:t>
      </w:r>
    </w:p>
    <w:p w14:paraId="00F9E36C">
      <w:pPr>
        <w:widowControl/>
        <w:jc w:val="left"/>
        <w:rPr>
          <w:rFonts w:ascii="ˎ̥" w:hAnsi="ˎ̥" w:cs="宋体"/>
          <w:kern w:val="0"/>
          <w:szCs w:val="21"/>
        </w:rPr>
      </w:pPr>
      <w:r>
        <w:rPr>
          <w:rFonts w:ascii="ˎ̥" w:hAnsi="ˎ̥" w:cs="宋体"/>
          <w:kern w:val="0"/>
          <w:szCs w:val="21"/>
        </w:rPr>
        <w:t>　　第九条 较轻违规行为。主要指无主观故意，在补贴产品投档、信息上传、公示宣传、资料归集等方面履行承诺事项不到位，对补贴政策实施带来较轻影响的行为，且积极配合调查和整改。主要包括：</w:t>
      </w:r>
    </w:p>
    <w:p w14:paraId="4D24C5B5">
      <w:pPr>
        <w:widowControl/>
        <w:jc w:val="left"/>
        <w:rPr>
          <w:rFonts w:ascii="ˎ̥" w:hAnsi="ˎ̥" w:cs="宋体"/>
          <w:kern w:val="0"/>
          <w:szCs w:val="21"/>
        </w:rPr>
      </w:pPr>
      <w:r>
        <w:rPr>
          <w:rFonts w:ascii="ˎ̥" w:hAnsi="ˎ̥" w:cs="宋体"/>
          <w:kern w:val="0"/>
          <w:szCs w:val="21"/>
        </w:rPr>
        <w:t>　　（一）农机购置补贴产品销售记录等资料不健全；</w:t>
      </w:r>
    </w:p>
    <w:p w14:paraId="18DD7C11">
      <w:pPr>
        <w:widowControl/>
        <w:jc w:val="left"/>
        <w:rPr>
          <w:rFonts w:ascii="ˎ̥" w:hAnsi="ˎ̥" w:cs="宋体"/>
          <w:kern w:val="0"/>
          <w:szCs w:val="21"/>
        </w:rPr>
      </w:pPr>
      <w:r>
        <w:rPr>
          <w:rFonts w:ascii="ˎ̥" w:hAnsi="ˎ̥" w:cs="宋体"/>
          <w:kern w:val="0"/>
          <w:szCs w:val="21"/>
        </w:rPr>
        <w:t>　　（二）补贴产品信息不齐全、补贴产品出厂编号、铭牌、合格证等不规范；</w:t>
      </w:r>
    </w:p>
    <w:p w14:paraId="663F3EF5">
      <w:pPr>
        <w:widowControl/>
        <w:jc w:val="left"/>
        <w:rPr>
          <w:rFonts w:ascii="ˎ̥" w:hAnsi="ˎ̥" w:cs="宋体"/>
          <w:kern w:val="0"/>
          <w:szCs w:val="21"/>
        </w:rPr>
      </w:pPr>
      <w:r>
        <w:rPr>
          <w:rFonts w:ascii="ˎ̥" w:hAnsi="ˎ̥" w:cs="宋体"/>
          <w:kern w:val="0"/>
          <w:szCs w:val="21"/>
        </w:rPr>
        <w:t>　　（三）违反农机产品“三包”规定，不积极处置或引起投诉；</w:t>
      </w:r>
    </w:p>
    <w:p w14:paraId="339E4C96">
      <w:pPr>
        <w:widowControl/>
        <w:jc w:val="left"/>
        <w:rPr>
          <w:rFonts w:ascii="ˎ̥" w:hAnsi="ˎ̥" w:cs="宋体"/>
          <w:kern w:val="0"/>
          <w:szCs w:val="21"/>
        </w:rPr>
      </w:pPr>
      <w:r>
        <w:rPr>
          <w:rFonts w:ascii="ˎ̥" w:hAnsi="ˎ̥" w:cs="宋体"/>
          <w:kern w:val="0"/>
          <w:szCs w:val="21"/>
        </w:rPr>
        <w:t>　　（四）其他违反农机购置补贴政策，情节较轻的行为。</w:t>
      </w:r>
    </w:p>
    <w:p w14:paraId="3DC62C8F">
      <w:pPr>
        <w:widowControl/>
        <w:jc w:val="left"/>
        <w:rPr>
          <w:rFonts w:ascii="ˎ̥" w:hAnsi="ˎ̥" w:cs="宋体"/>
          <w:kern w:val="0"/>
          <w:szCs w:val="21"/>
        </w:rPr>
      </w:pPr>
      <w:r>
        <w:rPr>
          <w:rFonts w:ascii="ˎ̥" w:hAnsi="ˎ̥" w:cs="宋体"/>
          <w:kern w:val="0"/>
          <w:szCs w:val="21"/>
        </w:rPr>
        <w:t>　　第十条 较重违规行为。主要指涉嫌主观故意，违背承诺，对补贴政策实施带来较大影响的行为。主要包括：</w:t>
      </w:r>
    </w:p>
    <w:p w14:paraId="3CE0BA3D">
      <w:pPr>
        <w:widowControl/>
        <w:jc w:val="left"/>
        <w:rPr>
          <w:rFonts w:ascii="ˎ̥" w:hAnsi="ˎ̥" w:cs="宋体"/>
          <w:kern w:val="0"/>
          <w:szCs w:val="21"/>
        </w:rPr>
      </w:pPr>
      <w:r>
        <w:rPr>
          <w:rFonts w:ascii="ˎ̥" w:hAnsi="ˎ̥" w:cs="宋体"/>
          <w:kern w:val="0"/>
          <w:szCs w:val="21"/>
        </w:rPr>
        <w:t>　　（一）伪造、变造、冒用农机购置补贴产品的铭牌、合格证、鉴定证书等信息，误导购机者购置补贴产品；</w:t>
      </w:r>
    </w:p>
    <w:p w14:paraId="2998B6C5">
      <w:pPr>
        <w:widowControl/>
        <w:jc w:val="left"/>
        <w:rPr>
          <w:rFonts w:ascii="ˎ̥" w:hAnsi="ˎ̥" w:cs="宋体"/>
          <w:kern w:val="0"/>
          <w:szCs w:val="21"/>
        </w:rPr>
      </w:pPr>
      <w:r>
        <w:rPr>
          <w:rFonts w:ascii="ˎ̥" w:hAnsi="ˎ̥" w:cs="宋体"/>
          <w:kern w:val="0"/>
          <w:szCs w:val="21"/>
        </w:rPr>
        <w:t>　　（二）销售的产品与法定鉴定公示的参数和配置不符，包括降低配置，以小充大,以非补贴产品冒充补贴产品等；</w:t>
      </w:r>
    </w:p>
    <w:p w14:paraId="4B74B14A">
      <w:pPr>
        <w:widowControl/>
        <w:jc w:val="left"/>
        <w:rPr>
          <w:rFonts w:ascii="ˎ̥" w:hAnsi="ˎ̥" w:cs="宋体"/>
          <w:kern w:val="0"/>
          <w:szCs w:val="21"/>
        </w:rPr>
      </w:pPr>
      <w:r>
        <w:rPr>
          <w:rFonts w:ascii="ˎ̥" w:hAnsi="ˎ̥" w:cs="宋体"/>
          <w:kern w:val="0"/>
          <w:szCs w:val="21"/>
        </w:rPr>
        <w:t>　　（三）补贴产品存在补贴额过高等异常情形，未主动进行书面报告；</w:t>
      </w:r>
    </w:p>
    <w:p w14:paraId="1A793760">
      <w:pPr>
        <w:widowControl/>
        <w:jc w:val="left"/>
        <w:rPr>
          <w:rFonts w:ascii="ˎ̥" w:hAnsi="ˎ̥" w:cs="宋体"/>
          <w:kern w:val="0"/>
          <w:szCs w:val="21"/>
        </w:rPr>
      </w:pPr>
      <w:r>
        <w:rPr>
          <w:rFonts w:ascii="ˎ̥" w:hAnsi="ˎ̥" w:cs="宋体"/>
          <w:kern w:val="0"/>
          <w:szCs w:val="21"/>
        </w:rPr>
        <w:t>　　（四）未按规定程序办理补贴产品退（换）货，或未主动及时报告当地农机主管部门补贴产品退（换））货等相关情况；</w:t>
      </w:r>
    </w:p>
    <w:p w14:paraId="178404DE">
      <w:pPr>
        <w:widowControl/>
        <w:jc w:val="left"/>
        <w:rPr>
          <w:rFonts w:ascii="ˎ̥" w:hAnsi="ˎ̥" w:cs="宋体"/>
          <w:kern w:val="0"/>
          <w:szCs w:val="21"/>
        </w:rPr>
      </w:pPr>
      <w:r>
        <w:rPr>
          <w:rFonts w:ascii="ˎ̥" w:hAnsi="ˎ̥" w:cs="宋体"/>
          <w:kern w:val="0"/>
          <w:szCs w:val="21"/>
        </w:rPr>
        <w:t>　　（五）提供不实归档信息，导致产品归入高档次；或在农机购置补贴辅助系统中上传不实信息；虚开发票；</w:t>
      </w:r>
    </w:p>
    <w:p w14:paraId="4DB822B5">
      <w:pPr>
        <w:widowControl/>
        <w:jc w:val="left"/>
        <w:rPr>
          <w:rFonts w:ascii="ˎ̥" w:hAnsi="ˎ̥" w:cs="宋体"/>
          <w:kern w:val="0"/>
          <w:szCs w:val="21"/>
        </w:rPr>
      </w:pPr>
      <w:r>
        <w:rPr>
          <w:rFonts w:ascii="ˎ̥" w:hAnsi="ˎ̥" w:cs="宋体"/>
          <w:kern w:val="0"/>
          <w:szCs w:val="21"/>
        </w:rPr>
        <w:t>　　（六）其他违反农机购置补贴政策，情节较重的行为。</w:t>
      </w:r>
    </w:p>
    <w:p w14:paraId="6BCFD5CD">
      <w:pPr>
        <w:widowControl/>
        <w:jc w:val="left"/>
        <w:rPr>
          <w:rFonts w:ascii="ˎ̥" w:hAnsi="ˎ̥" w:cs="宋体"/>
          <w:kern w:val="0"/>
          <w:szCs w:val="21"/>
        </w:rPr>
      </w:pPr>
      <w:r>
        <w:rPr>
          <w:rFonts w:ascii="ˎ̥" w:hAnsi="ˎ̥" w:cs="宋体"/>
          <w:kern w:val="0"/>
          <w:szCs w:val="21"/>
        </w:rPr>
        <w:t>　　第十一条 严重违规行为。主要指存在明显主观故意，骗取、套取财政补贴资金，对补贴政策实施带来恶劣影响的违规行为。主要包括：</w:t>
      </w:r>
    </w:p>
    <w:p w14:paraId="5739C4E6">
      <w:pPr>
        <w:widowControl/>
        <w:jc w:val="left"/>
        <w:rPr>
          <w:rFonts w:ascii="ˎ̥" w:hAnsi="ˎ̥" w:cs="宋体"/>
          <w:kern w:val="0"/>
          <w:szCs w:val="21"/>
        </w:rPr>
      </w:pPr>
      <w:r>
        <w:rPr>
          <w:rFonts w:ascii="ˎ̥" w:hAnsi="ˎ̥" w:cs="宋体"/>
          <w:kern w:val="0"/>
          <w:szCs w:val="21"/>
        </w:rPr>
        <w:t>　　（一）采取未购买报补贴、一机多补、重复补贴等非法手段，骗取财政补贴资金;</w:t>
      </w:r>
    </w:p>
    <w:p w14:paraId="36AD0C05">
      <w:pPr>
        <w:widowControl/>
        <w:jc w:val="left"/>
        <w:rPr>
          <w:rFonts w:ascii="ˎ̥" w:hAnsi="ˎ̥" w:cs="宋体"/>
          <w:kern w:val="0"/>
          <w:szCs w:val="21"/>
        </w:rPr>
      </w:pPr>
      <w:r>
        <w:rPr>
          <w:rFonts w:ascii="ˎ̥" w:hAnsi="ˎ̥" w:cs="宋体"/>
          <w:kern w:val="0"/>
          <w:szCs w:val="21"/>
        </w:rPr>
        <w:t>　　（二）组织或煽动购机者，引发群体性事件，造成恶劣影响；</w:t>
      </w:r>
    </w:p>
    <w:p w14:paraId="5EAC6037">
      <w:pPr>
        <w:widowControl/>
        <w:jc w:val="left"/>
        <w:rPr>
          <w:rFonts w:ascii="ˎ̥" w:hAnsi="ˎ̥" w:cs="宋体"/>
          <w:kern w:val="0"/>
          <w:szCs w:val="21"/>
        </w:rPr>
      </w:pPr>
      <w:r>
        <w:rPr>
          <w:rFonts w:ascii="ˎ̥" w:hAnsi="ˎ̥" w:cs="宋体"/>
          <w:kern w:val="0"/>
          <w:szCs w:val="21"/>
        </w:rPr>
        <w:t>　　（三）抗拒依法监管，拒不接受或执行农机、财政部门作出的处理决定；</w:t>
      </w:r>
    </w:p>
    <w:p w14:paraId="5B6C036D">
      <w:pPr>
        <w:widowControl/>
        <w:jc w:val="left"/>
        <w:rPr>
          <w:rFonts w:ascii="ˎ̥" w:hAnsi="ˎ̥" w:cs="宋体"/>
          <w:kern w:val="0"/>
          <w:szCs w:val="21"/>
        </w:rPr>
      </w:pPr>
      <w:r>
        <w:rPr>
          <w:rFonts w:ascii="ˎ̥" w:hAnsi="ˎ̥" w:cs="宋体"/>
          <w:kern w:val="0"/>
          <w:szCs w:val="21"/>
        </w:rPr>
        <w:t>　　（四）其他违反农机购置补贴政策，性质恶劣的行为。</w:t>
      </w:r>
    </w:p>
    <w:p w14:paraId="7646FA23">
      <w:pPr>
        <w:widowControl/>
        <w:jc w:val="center"/>
        <w:rPr>
          <w:rFonts w:ascii="ˎ̥" w:hAnsi="ˎ̥" w:cs="宋体"/>
          <w:kern w:val="0"/>
          <w:szCs w:val="21"/>
        </w:rPr>
      </w:pPr>
      <w:r>
        <w:rPr>
          <w:rFonts w:ascii="ˎ̥" w:hAnsi="ˎ̥" w:cs="宋体"/>
          <w:kern w:val="0"/>
          <w:szCs w:val="21"/>
        </w:rPr>
        <w:t>第三章  违规处理</w:t>
      </w:r>
    </w:p>
    <w:p w14:paraId="6C6D3285">
      <w:pPr>
        <w:widowControl/>
        <w:jc w:val="left"/>
        <w:rPr>
          <w:rFonts w:ascii="ˎ̥" w:hAnsi="ˎ̥" w:cs="宋体"/>
          <w:kern w:val="0"/>
          <w:szCs w:val="21"/>
        </w:rPr>
      </w:pPr>
      <w:r>
        <w:rPr>
          <w:rFonts w:ascii="ˎ̥" w:hAnsi="ˎ̥" w:cs="宋体"/>
          <w:kern w:val="0"/>
          <w:szCs w:val="21"/>
        </w:rPr>
        <w:t>　　第十二条 各级农机、财政部门应针对不同性质的违规行为，对违规农机产销企业和购机者采取相应的处理措施，不同措施可独立或合并实施。</w:t>
      </w:r>
    </w:p>
    <w:p w14:paraId="290BF45F">
      <w:pPr>
        <w:widowControl/>
        <w:jc w:val="left"/>
        <w:rPr>
          <w:rFonts w:ascii="ˎ̥" w:hAnsi="ˎ̥" w:cs="宋体"/>
          <w:kern w:val="0"/>
          <w:szCs w:val="21"/>
        </w:rPr>
      </w:pPr>
      <w:r>
        <w:rPr>
          <w:rFonts w:ascii="ˎ̥" w:hAnsi="ˎ̥" w:cs="宋体"/>
          <w:kern w:val="0"/>
          <w:szCs w:val="21"/>
        </w:rPr>
        <w:t>　　（一）对较轻违规行为的处理。由县级及以上农机主管部门视情况采取告诫、限期整改、暂停相关产品补贴资格、暂停经销补贴产品资格等措施，并限期整改。</w:t>
      </w:r>
    </w:p>
    <w:p w14:paraId="51A16426">
      <w:pPr>
        <w:widowControl/>
        <w:jc w:val="left"/>
        <w:rPr>
          <w:rFonts w:ascii="ˎ̥" w:hAnsi="ˎ̥" w:cs="宋体"/>
          <w:kern w:val="0"/>
          <w:szCs w:val="21"/>
        </w:rPr>
      </w:pPr>
      <w:r>
        <w:rPr>
          <w:rFonts w:ascii="ˎ̥" w:hAnsi="ˎ̥" w:cs="宋体"/>
          <w:kern w:val="0"/>
          <w:szCs w:val="21"/>
        </w:rPr>
        <w:t>　　（二）对较重违规行为的处理。由自治区农机主管部门视情况采取或授权事发县（市、区）农机主管部门采取暂停违规产销企业的相关或全部产品补贴资格、暂停或取消经销补贴产品资格、取消相关或全部产品补贴资格等措施进行处理。对参与较重违规行为的购机者，3年内不得享受农机购置补贴。同时，要求违规农机产销企业和购机者限期整改。</w:t>
      </w:r>
    </w:p>
    <w:p w14:paraId="26064611">
      <w:pPr>
        <w:widowControl/>
        <w:jc w:val="left"/>
        <w:rPr>
          <w:rFonts w:ascii="ˎ̥" w:hAnsi="ˎ̥" w:cs="宋体"/>
          <w:kern w:val="0"/>
          <w:szCs w:val="21"/>
        </w:rPr>
      </w:pPr>
      <w:r>
        <w:rPr>
          <w:rFonts w:ascii="ˎ̥" w:hAnsi="ˎ̥" w:cs="宋体"/>
          <w:kern w:val="0"/>
          <w:szCs w:val="21"/>
        </w:rPr>
        <w:t>　　（三）对严重违规行为的处理。由自治区及以上农机主管部门采取取消经销补贴产品资格、取消全部产品补贴资格等措施进行处理，并将违规农机产销企业及其法定代表人或其他责任人列入补贴产品经营黑名单,禁止再参与补贴政策实施工作。上述行为涉嫌犯罪的，依法移送司法机关处理。</w:t>
      </w:r>
    </w:p>
    <w:p w14:paraId="0F51E98A">
      <w:pPr>
        <w:widowControl/>
        <w:jc w:val="left"/>
        <w:rPr>
          <w:rFonts w:ascii="ˎ̥" w:hAnsi="ˎ̥" w:cs="宋体"/>
          <w:kern w:val="0"/>
          <w:szCs w:val="21"/>
        </w:rPr>
      </w:pPr>
      <w:r>
        <w:rPr>
          <w:rFonts w:ascii="ˎ̥" w:hAnsi="ˎ̥" w:cs="宋体"/>
          <w:kern w:val="0"/>
          <w:szCs w:val="21"/>
        </w:rPr>
        <w:t>　　第十三条 在处理违规行为过程中涉及资金退缴、罚款等资金处理决定，由财政部门会同农机化主管部门作出。</w:t>
      </w:r>
    </w:p>
    <w:p w14:paraId="1171EA35">
      <w:pPr>
        <w:widowControl/>
        <w:jc w:val="left"/>
        <w:rPr>
          <w:rFonts w:ascii="ˎ̥" w:hAnsi="ˎ̥" w:cs="宋体"/>
          <w:kern w:val="0"/>
          <w:szCs w:val="21"/>
        </w:rPr>
      </w:pPr>
      <w:r>
        <w:rPr>
          <w:rFonts w:ascii="ˎ̥" w:hAnsi="ˎ̥" w:cs="宋体"/>
          <w:kern w:val="0"/>
          <w:szCs w:val="21"/>
        </w:rPr>
        <w:t>　　对拒不履行资金处理决定的违规农机产销企业，由财政部门会同农机化主管部门向司法机关申请强制执行。</w:t>
      </w:r>
    </w:p>
    <w:p w14:paraId="615C98E6">
      <w:pPr>
        <w:widowControl/>
        <w:jc w:val="left"/>
        <w:rPr>
          <w:rFonts w:ascii="ˎ̥" w:hAnsi="ˎ̥" w:cs="宋体"/>
          <w:kern w:val="0"/>
          <w:szCs w:val="21"/>
        </w:rPr>
      </w:pPr>
      <w:r>
        <w:rPr>
          <w:rFonts w:ascii="ˎ̥" w:hAnsi="ˎ̥" w:cs="宋体"/>
          <w:kern w:val="0"/>
          <w:szCs w:val="21"/>
        </w:rPr>
        <w:t>　　第十四条 暂停产品补贴资格或经销补贴产品资格的期限为3-6个月，从作出暂停处理决定之日起算。自治区农机主管部门将视事发地农牧部门的意见或企业整改情况，恢复补贴资格。暂停期满后3个月内，未收到企业书面申请的，视为该企业自行放弃相关产品补贴资格，原则上不再恢复。</w:t>
      </w:r>
    </w:p>
    <w:p w14:paraId="29303E62">
      <w:pPr>
        <w:widowControl/>
        <w:jc w:val="left"/>
        <w:rPr>
          <w:rFonts w:ascii="ˎ̥" w:hAnsi="ˎ̥" w:cs="宋体"/>
          <w:kern w:val="0"/>
          <w:szCs w:val="21"/>
        </w:rPr>
      </w:pPr>
      <w:r>
        <w:rPr>
          <w:rFonts w:ascii="ˎ̥" w:hAnsi="ˎ̥" w:cs="宋体"/>
          <w:kern w:val="0"/>
          <w:szCs w:val="21"/>
        </w:rPr>
        <w:t>　　对补贴资格被暂停或取消前，购机者已购置且经核查未发现违规问题的补贴产品，可按规定向购机者兑付补贴资金。补贴标准确需调整的，由自治区农机化主管部门按规定重新组织测算。</w:t>
      </w:r>
    </w:p>
    <w:p w14:paraId="7AE8429C">
      <w:pPr>
        <w:widowControl/>
        <w:jc w:val="left"/>
        <w:rPr>
          <w:rFonts w:ascii="ˎ̥" w:hAnsi="ˎ̥" w:cs="宋体"/>
          <w:kern w:val="0"/>
          <w:szCs w:val="21"/>
        </w:rPr>
      </w:pPr>
      <w:r>
        <w:rPr>
          <w:rFonts w:ascii="ˎ̥" w:hAnsi="ˎ̥" w:cs="宋体"/>
          <w:kern w:val="0"/>
          <w:szCs w:val="21"/>
        </w:rPr>
        <w:t>　　第十五条  对积极配合调查、主动报告问题、有效挽回或减轻损失的可从轻或减轻处理。对拒不配合调查、拒不执行相关处理决定、多次或重复发生违规行为的，应从重或加重处理。</w:t>
      </w:r>
    </w:p>
    <w:p w14:paraId="3991C5CF">
      <w:pPr>
        <w:widowControl/>
        <w:jc w:val="center"/>
        <w:rPr>
          <w:rFonts w:ascii="ˎ̥" w:hAnsi="ˎ̥" w:cs="宋体"/>
          <w:kern w:val="0"/>
          <w:szCs w:val="21"/>
        </w:rPr>
      </w:pPr>
      <w:r>
        <w:rPr>
          <w:rFonts w:ascii="ˎ̥" w:hAnsi="ˎ̥" w:cs="宋体"/>
          <w:kern w:val="0"/>
          <w:szCs w:val="21"/>
        </w:rPr>
        <w:t>第四章  查处程序</w:t>
      </w:r>
    </w:p>
    <w:p w14:paraId="1463B51D">
      <w:pPr>
        <w:widowControl/>
        <w:jc w:val="left"/>
        <w:rPr>
          <w:rFonts w:ascii="ˎ̥" w:hAnsi="ˎ̥" w:cs="宋体"/>
          <w:kern w:val="0"/>
          <w:szCs w:val="21"/>
        </w:rPr>
      </w:pPr>
      <w:r>
        <w:rPr>
          <w:rFonts w:ascii="ˎ̥" w:hAnsi="ˎ̥" w:cs="宋体"/>
          <w:kern w:val="0"/>
          <w:szCs w:val="21"/>
        </w:rPr>
        <w:t>　　第十六条  农机购置补贴违规行为线索来源于群众举报投诉，监督检查发现，上级机关批办，下级机关上报，其他相关部门移交等。</w:t>
      </w:r>
    </w:p>
    <w:p w14:paraId="247CC644">
      <w:pPr>
        <w:widowControl/>
        <w:jc w:val="left"/>
        <w:rPr>
          <w:rFonts w:ascii="ˎ̥" w:hAnsi="ˎ̥" w:cs="宋体"/>
          <w:kern w:val="0"/>
          <w:szCs w:val="21"/>
        </w:rPr>
      </w:pPr>
      <w:r>
        <w:rPr>
          <w:rFonts w:ascii="ˎ̥" w:hAnsi="ˎ̥" w:cs="宋体"/>
          <w:kern w:val="0"/>
          <w:szCs w:val="21"/>
        </w:rPr>
        <w:t>　　第十七条 查处工作应做到程序规范、全程留痕、记录完整、一事一档。</w:t>
      </w:r>
    </w:p>
    <w:p w14:paraId="7CB0AA34">
      <w:pPr>
        <w:widowControl/>
        <w:jc w:val="left"/>
        <w:rPr>
          <w:rFonts w:ascii="ˎ̥" w:hAnsi="ˎ̥" w:cs="宋体"/>
          <w:kern w:val="0"/>
          <w:szCs w:val="21"/>
        </w:rPr>
      </w:pPr>
      <w:r>
        <w:rPr>
          <w:rFonts w:ascii="ˎ̥" w:hAnsi="ˎ̥" w:cs="宋体"/>
          <w:kern w:val="0"/>
          <w:szCs w:val="21"/>
        </w:rPr>
        <w:t>　　（一）受理登记。各级农机化主管部门组织受理本级补贴产品经营违规行为的举报投诉。对上级机关转办、其他部门转交或实名反映的本行政区域内的违规线索，应予登记。对提供不实联系方式、匿名反映且无具体线索的，可不予登记。举报投诉事项涉及其他部门职权的，按规定移交有关线索。</w:t>
      </w:r>
    </w:p>
    <w:p w14:paraId="4DF8CD87">
      <w:pPr>
        <w:widowControl/>
        <w:jc w:val="left"/>
        <w:rPr>
          <w:rFonts w:ascii="ˎ̥" w:hAnsi="ˎ̥" w:cs="宋体"/>
          <w:kern w:val="0"/>
          <w:szCs w:val="21"/>
        </w:rPr>
      </w:pPr>
      <w:r>
        <w:rPr>
          <w:rFonts w:ascii="ˎ̥" w:hAnsi="ˎ̥" w:cs="宋体"/>
          <w:kern w:val="0"/>
          <w:szCs w:val="21"/>
        </w:rPr>
        <w:t>　　（二）调查核实。对已受理登记的举报投诉组织调查或转办。经初步调查，对有具体违规线索且违规嫌疑较大的企业，可在农机购置补贴辅助管理系统中对涉及的产品或企业先行采取封闭等防范处理措施。</w:t>
      </w:r>
    </w:p>
    <w:p w14:paraId="554D9513">
      <w:pPr>
        <w:widowControl/>
        <w:jc w:val="left"/>
        <w:rPr>
          <w:rFonts w:ascii="ˎ̥" w:hAnsi="ˎ̥" w:cs="宋体"/>
          <w:kern w:val="0"/>
          <w:szCs w:val="21"/>
        </w:rPr>
      </w:pPr>
      <w:r>
        <w:rPr>
          <w:rFonts w:ascii="ˎ̥" w:hAnsi="ˎ̥" w:cs="宋体"/>
          <w:kern w:val="0"/>
          <w:szCs w:val="21"/>
        </w:rPr>
        <w:t>　　（三）约谈告知。各级农机化主管部门作出处理决定前，应履行约谈程序，告知涉事企业及购机者其违规情节和拟采取的处理措施等，听取意见。涉事企业及购机者在规定时限内不接受约谈或不配合约谈的，视同无异议。</w:t>
      </w:r>
    </w:p>
    <w:p w14:paraId="177B6FC0">
      <w:pPr>
        <w:widowControl/>
        <w:jc w:val="left"/>
        <w:rPr>
          <w:rFonts w:ascii="ˎ̥" w:hAnsi="ˎ̥" w:cs="宋体"/>
          <w:kern w:val="0"/>
          <w:szCs w:val="21"/>
        </w:rPr>
      </w:pPr>
      <w:r>
        <w:rPr>
          <w:rFonts w:ascii="ˎ̥" w:hAnsi="ˎ̥" w:cs="宋体"/>
          <w:kern w:val="0"/>
          <w:szCs w:val="21"/>
        </w:rPr>
        <w:t>　　（四）处理通报。根据调查结果和约谈情况，各级农机化主管部门经集体研究做出相关处理决定，应及时向社会公布。对暂停或取消补贴资格的，应当在宁夏农机化信息网和农机购置补贴信息公开专栏上发布处理决定，自治区级处理意见还应当将相关信息录入农业部农机化司违规通报数据库。</w:t>
      </w:r>
    </w:p>
    <w:p w14:paraId="1FC673E7">
      <w:pPr>
        <w:widowControl/>
        <w:jc w:val="left"/>
        <w:rPr>
          <w:rFonts w:ascii="ˎ̥" w:hAnsi="ˎ̥" w:cs="宋体"/>
          <w:kern w:val="0"/>
          <w:szCs w:val="21"/>
        </w:rPr>
      </w:pPr>
      <w:r>
        <w:rPr>
          <w:rFonts w:ascii="ˎ̥" w:hAnsi="ˎ̥" w:cs="宋体"/>
          <w:kern w:val="0"/>
          <w:szCs w:val="21"/>
        </w:rPr>
        <w:t>　　（五）材料留存。由承担查处任务的农机化主管部门对相关调查材料留存备查。未经受理登记的相关材料亦应留存。违规处理的材料留存期限一般为5年。</w:t>
      </w:r>
    </w:p>
    <w:p w14:paraId="37DE36B9">
      <w:pPr>
        <w:widowControl/>
        <w:jc w:val="left"/>
        <w:rPr>
          <w:rFonts w:ascii="ˎ̥" w:hAnsi="ˎ̥" w:cs="宋体"/>
          <w:kern w:val="0"/>
          <w:szCs w:val="21"/>
        </w:rPr>
      </w:pPr>
      <w:r>
        <w:rPr>
          <w:rFonts w:ascii="ˎ̥" w:hAnsi="ˎ̥" w:cs="宋体"/>
          <w:kern w:val="0"/>
          <w:szCs w:val="21"/>
        </w:rPr>
        <w:t>　　第十八条  根据农机购置补贴违规通报及黑名单数据库发布的信息，自治区对在其他省份发生较重或严重违规行为而被处理的农机产销企业，可联动处理，处理措施宜与违规行为发生地的系列措施总体保持一致。</w:t>
      </w:r>
    </w:p>
    <w:p w14:paraId="02E2CE40">
      <w:pPr>
        <w:widowControl/>
        <w:jc w:val="left"/>
        <w:rPr>
          <w:rFonts w:ascii="ˎ̥" w:hAnsi="ˎ̥" w:cs="宋体"/>
          <w:kern w:val="0"/>
          <w:szCs w:val="21"/>
        </w:rPr>
      </w:pPr>
      <w:r>
        <w:rPr>
          <w:rFonts w:ascii="ˎ̥" w:hAnsi="ˎ̥" w:cs="宋体"/>
          <w:kern w:val="0"/>
          <w:szCs w:val="21"/>
        </w:rPr>
        <w:t>　　第十九条 组织调查的农机化主管部门负责向举报人反馈处理结果。对不需要处理的问题，应解释政策，做好来访人员的思想工作。上级转办的举报投诉，由自治区农机化主管部门按照时限要求负责将处理情况报转办部门。</w:t>
      </w:r>
    </w:p>
    <w:p w14:paraId="16CC9795">
      <w:pPr>
        <w:widowControl/>
        <w:jc w:val="center"/>
        <w:rPr>
          <w:rFonts w:ascii="ˎ̥" w:hAnsi="ˎ̥" w:cs="宋体"/>
          <w:kern w:val="0"/>
          <w:szCs w:val="21"/>
        </w:rPr>
      </w:pPr>
      <w:r>
        <w:rPr>
          <w:rFonts w:ascii="ˎ̥" w:hAnsi="ˎ̥" w:cs="宋体"/>
          <w:kern w:val="0"/>
          <w:szCs w:val="21"/>
        </w:rPr>
        <w:t>第四章  附则</w:t>
      </w:r>
    </w:p>
    <w:p w14:paraId="60C62B0D">
      <w:pPr>
        <w:widowControl/>
        <w:jc w:val="left"/>
        <w:rPr>
          <w:rFonts w:ascii="ˎ̥" w:hAnsi="ˎ̥" w:cs="宋体"/>
          <w:kern w:val="0"/>
          <w:szCs w:val="21"/>
        </w:rPr>
      </w:pPr>
      <w:r>
        <w:rPr>
          <w:rFonts w:ascii="ˎ̥" w:hAnsi="ˎ̥" w:cs="宋体"/>
          <w:kern w:val="0"/>
          <w:szCs w:val="21"/>
        </w:rPr>
        <w:t>　　第二十条  各级农机化、财政部门工作人员在补贴政策实施管理中的违纪、违法行为按相关法律法规和规定处理；涉嫌犯罪的，依法移送司法机关处理。</w:t>
      </w:r>
    </w:p>
    <w:p w14:paraId="5C8317CA">
      <w:pPr>
        <w:widowControl/>
        <w:jc w:val="left"/>
        <w:rPr>
          <w:rFonts w:ascii="ˎ̥" w:hAnsi="ˎ̥" w:cs="宋体"/>
          <w:kern w:val="0"/>
          <w:szCs w:val="21"/>
        </w:rPr>
      </w:pPr>
      <w:r>
        <w:rPr>
          <w:rFonts w:ascii="ˎ̥" w:hAnsi="ˎ̥" w:cs="宋体"/>
          <w:kern w:val="0"/>
          <w:szCs w:val="21"/>
        </w:rPr>
        <w:t>　　第二十一条  本办法由宁夏农牧厅、财政厅负责解释。</w:t>
      </w:r>
    </w:p>
    <w:p w14:paraId="530B2EF7">
      <w:pPr>
        <w:widowControl/>
        <w:jc w:val="left"/>
        <w:rPr>
          <w:rFonts w:ascii="ˎ̥" w:hAnsi="ˎ̥" w:cs="宋体"/>
          <w:kern w:val="0"/>
          <w:szCs w:val="21"/>
        </w:rPr>
      </w:pPr>
      <w:r>
        <w:rPr>
          <w:rFonts w:ascii="ˎ̥" w:hAnsi="ˎ̥" w:cs="宋体"/>
          <w:kern w:val="0"/>
          <w:szCs w:val="21"/>
        </w:rPr>
        <w:t>　　第二十二条  本办法自发布之日起施行。</w:t>
      </w:r>
    </w:p>
    <w:p w14:paraId="07314915">
      <w:pPr>
        <w:tabs>
          <w:tab w:val="left" w:pos="1120"/>
        </w:tabs>
        <w:jc w:val="center"/>
        <w:rPr>
          <w:rFonts w:ascii="宋体" w:hAnsi="宋体"/>
          <w:szCs w:val="21"/>
          <w:u w:val="single"/>
        </w:rPr>
      </w:pPr>
    </w:p>
    <w:p w14:paraId="620618C3">
      <w:pPr>
        <w:tabs>
          <w:tab w:val="left" w:pos="1120"/>
        </w:tabs>
        <w:jc w:val="center"/>
        <w:rPr>
          <w:rFonts w:ascii="宋体" w:hAnsi="宋体"/>
          <w:szCs w:val="21"/>
          <w:u w:val="single"/>
        </w:rPr>
      </w:pPr>
    </w:p>
    <w:p w14:paraId="1095F833">
      <w:pPr>
        <w:tabs>
          <w:tab w:val="left" w:pos="1120"/>
        </w:tabs>
        <w:jc w:val="center"/>
        <w:rPr>
          <w:rFonts w:ascii="宋体" w:hAnsi="宋体"/>
          <w:szCs w:val="21"/>
          <w:u w:val="single"/>
        </w:rPr>
      </w:pPr>
    </w:p>
    <w:p w14:paraId="7D112DB0">
      <w:pPr>
        <w:tabs>
          <w:tab w:val="left" w:pos="1120"/>
        </w:tabs>
        <w:jc w:val="center"/>
        <w:rPr>
          <w:rFonts w:ascii="宋体" w:hAnsi="宋体"/>
          <w:szCs w:val="21"/>
          <w:u w:val="single"/>
        </w:rPr>
      </w:pPr>
    </w:p>
    <w:p w14:paraId="78E8590F">
      <w:pPr>
        <w:tabs>
          <w:tab w:val="left" w:pos="1120"/>
        </w:tabs>
        <w:jc w:val="center"/>
        <w:rPr>
          <w:rFonts w:ascii="宋体" w:hAnsi="宋体"/>
          <w:szCs w:val="21"/>
          <w:u w:val="single"/>
        </w:rPr>
      </w:pPr>
    </w:p>
    <w:p w14:paraId="494EB1B4">
      <w:pPr>
        <w:tabs>
          <w:tab w:val="left" w:pos="1120"/>
        </w:tabs>
        <w:jc w:val="center"/>
        <w:rPr>
          <w:rFonts w:ascii="宋体" w:hAnsi="宋体"/>
          <w:szCs w:val="21"/>
          <w:u w:val="single"/>
        </w:rPr>
      </w:pPr>
    </w:p>
    <w:p w14:paraId="51835180">
      <w:pPr>
        <w:tabs>
          <w:tab w:val="left" w:pos="1120"/>
        </w:tabs>
        <w:jc w:val="center"/>
        <w:rPr>
          <w:rFonts w:ascii="宋体" w:hAnsi="宋体"/>
          <w:szCs w:val="21"/>
          <w:u w:val="single"/>
        </w:rPr>
      </w:pPr>
    </w:p>
    <w:p w14:paraId="4F5BF59D">
      <w:pPr>
        <w:tabs>
          <w:tab w:val="left" w:pos="1120"/>
        </w:tabs>
        <w:jc w:val="center"/>
        <w:rPr>
          <w:rFonts w:ascii="宋体" w:hAnsi="宋体"/>
          <w:szCs w:val="21"/>
          <w:u w:val="single"/>
        </w:rPr>
      </w:pPr>
    </w:p>
    <w:p w14:paraId="1356AC45">
      <w:pPr>
        <w:tabs>
          <w:tab w:val="left" w:pos="1120"/>
        </w:tabs>
        <w:jc w:val="center"/>
        <w:rPr>
          <w:rFonts w:ascii="宋体" w:hAnsi="宋体"/>
          <w:szCs w:val="21"/>
          <w:u w:val="single"/>
        </w:rPr>
      </w:pPr>
    </w:p>
    <w:p w14:paraId="5FEC0792">
      <w:pPr>
        <w:tabs>
          <w:tab w:val="left" w:pos="1120"/>
        </w:tabs>
        <w:jc w:val="center"/>
        <w:rPr>
          <w:rFonts w:ascii="宋体" w:hAnsi="宋体"/>
          <w:szCs w:val="21"/>
          <w:u w:val="single"/>
        </w:rPr>
      </w:pPr>
    </w:p>
    <w:p w14:paraId="6AAA2209">
      <w:pPr>
        <w:tabs>
          <w:tab w:val="left" w:pos="1120"/>
        </w:tabs>
        <w:jc w:val="center"/>
        <w:rPr>
          <w:rFonts w:ascii="宋体" w:hAnsi="宋体"/>
          <w:szCs w:val="21"/>
          <w:u w:val="single"/>
        </w:rPr>
      </w:pPr>
    </w:p>
    <w:p w14:paraId="35297633">
      <w:pPr>
        <w:tabs>
          <w:tab w:val="left" w:pos="1120"/>
        </w:tabs>
        <w:jc w:val="center"/>
        <w:rPr>
          <w:rFonts w:ascii="宋体" w:hAnsi="宋体"/>
          <w:szCs w:val="21"/>
          <w:u w:val="single"/>
        </w:rPr>
      </w:pPr>
    </w:p>
    <w:p w14:paraId="21022F59">
      <w:pPr>
        <w:tabs>
          <w:tab w:val="left" w:pos="1120"/>
        </w:tabs>
        <w:jc w:val="center"/>
        <w:rPr>
          <w:rFonts w:ascii="宋体" w:hAnsi="宋体"/>
          <w:szCs w:val="21"/>
          <w:u w:val="single"/>
        </w:rPr>
      </w:pPr>
    </w:p>
    <w:p w14:paraId="2B4573AF">
      <w:pPr>
        <w:tabs>
          <w:tab w:val="left" w:pos="1120"/>
        </w:tabs>
        <w:jc w:val="center"/>
        <w:rPr>
          <w:rFonts w:ascii="宋体" w:hAnsi="宋体"/>
          <w:szCs w:val="21"/>
          <w:u w:val="single"/>
        </w:rPr>
      </w:pPr>
    </w:p>
    <w:p w14:paraId="4C74076E">
      <w:pPr>
        <w:tabs>
          <w:tab w:val="left" w:pos="1120"/>
        </w:tabs>
        <w:jc w:val="center"/>
        <w:rPr>
          <w:rFonts w:ascii="宋体" w:hAnsi="宋体"/>
          <w:szCs w:val="21"/>
          <w:u w:val="single"/>
        </w:rPr>
      </w:pPr>
    </w:p>
    <w:p w14:paraId="5B798F26">
      <w:pPr>
        <w:tabs>
          <w:tab w:val="left" w:pos="1120"/>
        </w:tabs>
        <w:jc w:val="center"/>
        <w:rPr>
          <w:rFonts w:ascii="宋体" w:hAnsi="宋体"/>
          <w:szCs w:val="21"/>
          <w:u w:val="single"/>
        </w:rPr>
      </w:pPr>
    </w:p>
    <w:p w14:paraId="1FF8FF0A">
      <w:pPr>
        <w:tabs>
          <w:tab w:val="left" w:pos="1120"/>
        </w:tabs>
        <w:jc w:val="center"/>
        <w:rPr>
          <w:rFonts w:ascii="宋体" w:hAnsi="宋体"/>
          <w:szCs w:val="21"/>
          <w:u w:val="single"/>
        </w:rPr>
      </w:pPr>
    </w:p>
    <w:p w14:paraId="570887A1">
      <w:pPr>
        <w:tabs>
          <w:tab w:val="left" w:pos="1120"/>
        </w:tabs>
        <w:jc w:val="center"/>
        <w:rPr>
          <w:rFonts w:ascii="宋体" w:hAnsi="宋体"/>
          <w:szCs w:val="21"/>
          <w:u w:val="single"/>
        </w:rPr>
      </w:pPr>
    </w:p>
    <w:p w14:paraId="7739DF5A">
      <w:pPr>
        <w:tabs>
          <w:tab w:val="left" w:pos="1120"/>
        </w:tabs>
        <w:jc w:val="center"/>
        <w:rPr>
          <w:rFonts w:ascii="宋体" w:hAnsi="宋体"/>
          <w:szCs w:val="21"/>
          <w:u w:val="single"/>
        </w:rPr>
      </w:pPr>
    </w:p>
    <w:p w14:paraId="3BB0FC5F">
      <w:pPr>
        <w:tabs>
          <w:tab w:val="left" w:pos="1120"/>
        </w:tabs>
        <w:jc w:val="center"/>
        <w:rPr>
          <w:rFonts w:ascii="宋体" w:hAnsi="宋体"/>
          <w:szCs w:val="21"/>
          <w:u w:val="single"/>
        </w:rPr>
      </w:pPr>
    </w:p>
    <w:p w14:paraId="2A5F6192">
      <w:pPr>
        <w:tabs>
          <w:tab w:val="left" w:pos="1120"/>
        </w:tabs>
        <w:jc w:val="center"/>
        <w:rPr>
          <w:rFonts w:ascii="宋体" w:hAnsi="宋体"/>
          <w:szCs w:val="21"/>
          <w:u w:val="single"/>
        </w:rPr>
      </w:pPr>
    </w:p>
    <w:sectPr>
      <w:pgSz w:w="11906" w:h="16838"/>
      <w:pgMar w:top="1418" w:right="1134" w:bottom="936" w:left="1418" w:header="1418" w:footer="1134" w:gutter="0"/>
      <w:pgNumType w:start="1"/>
      <w:cols w:space="720" w:num="1"/>
      <w:formProt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Arial">
    <w:altName w:val="Times New Roman"/>
    <w:panose1 w:val="020B0604020202020204"/>
    <w:charset w:val="00"/>
    <w:family w:val="swiss"/>
    <w:pitch w:val="default"/>
    <w:sig w:usb0="00000000" w:usb1="00000000" w:usb2="00000009" w:usb3="00000000" w:csb0="000001FF" w:csb1="00000000"/>
  </w:font>
  <w:font w:name="Courier New">
    <w:altName w:val="DejaVu Sans"/>
    <w:panose1 w:val="02070309020205020404"/>
    <w:charset w:val="00"/>
    <w:family w:val="modern"/>
    <w:pitch w:val="default"/>
    <w:sig w:usb0="00000000" w:usb1="00000000" w:usb2="00000009" w:usb3="00000000" w:csb0="000001FF" w:csb1="00000000"/>
  </w:font>
  <w:font w:name="ˎ̥">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497FD">
    <w:pPr>
      <w:pStyle w:val="93"/>
    </w:pP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B805E">
    <w:pPr>
      <w:pStyle w:val="22"/>
      <w:framePr w:wrap="around" w:vAnchor="text" w:hAnchor="margin" w:xAlign="outside" w:y="1"/>
      <w:rPr>
        <w:rStyle w:val="42"/>
      </w:rPr>
    </w:pPr>
    <w:r>
      <w:fldChar w:fldCharType="begin"/>
    </w:r>
    <w:r>
      <w:rPr>
        <w:rStyle w:val="42"/>
      </w:rPr>
      <w:instrText xml:space="preserve">PAGE  </w:instrText>
    </w:r>
    <w:r>
      <w:fldChar w:fldCharType="separate"/>
    </w:r>
    <w:r>
      <w:rPr>
        <w:rStyle w:val="42"/>
      </w:rPr>
      <w:t>39</w:t>
    </w:r>
    <w:r>
      <w:fldChar w:fldCharType="end"/>
    </w:r>
  </w:p>
  <w:p w14:paraId="42BB8AC3">
    <w:pPr>
      <w:pStyle w:val="22"/>
      <w:framePr w:wrap="around" w:vAnchor="text" w:hAnchor="margin" w:xAlign="center" w:y="1"/>
      <w:ind w:firstLine="360"/>
      <w:rPr>
        <w:rStyle w:val="42"/>
      </w:rPr>
    </w:pPr>
  </w:p>
  <w:p w14:paraId="53FE8E65">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4329E">
    <w:pPr>
      <w:pStyle w:val="22"/>
      <w:framePr w:wrap="around" w:vAnchor="text" w:hAnchor="margin" w:xAlign="outside" w:y="1"/>
      <w:rPr>
        <w:rStyle w:val="42"/>
      </w:rPr>
    </w:pPr>
    <w:r>
      <w:fldChar w:fldCharType="begin"/>
    </w:r>
    <w:r>
      <w:rPr>
        <w:rStyle w:val="42"/>
      </w:rPr>
      <w:instrText xml:space="preserve">PAGE  </w:instrText>
    </w:r>
    <w:r>
      <w:fldChar w:fldCharType="separate"/>
    </w:r>
    <w:r>
      <w:rPr>
        <w:rStyle w:val="42"/>
      </w:rPr>
      <w:t>40</w:t>
    </w:r>
    <w:r>
      <w:fldChar w:fldCharType="end"/>
    </w:r>
  </w:p>
  <w:p w14:paraId="4FCC3B45">
    <w:pPr>
      <w:pStyle w:val="2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423B7">
    <w:pPr>
      <w:pStyle w:val="97"/>
      <w:jc w:val="right"/>
    </w:pPr>
    <w:r>
      <w:t>T/</w:t>
    </w:r>
    <w:r>
      <w:rPr>
        <w:rFonts w:hint="eastAsia"/>
      </w:rPr>
      <w:t>HLZD</w:t>
    </w:r>
    <w:r>
      <w:t xml:space="preserve"> —201</w:t>
    </w:r>
    <w:r>
      <w:rPr>
        <w:rFonts w:hint="eastAsia"/>
      </w:rPr>
      <w:t>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2DE9F">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C3E7A">
    <w:pPr>
      <w:pStyle w:val="2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3F5AC">
    <w:pPr>
      <w:pStyle w:val="2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48"/>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0000000B"/>
    <w:multiLevelType w:val="multilevel"/>
    <w:tmpl w:val="0000000B"/>
    <w:lvl w:ilvl="0" w:tentative="0">
      <w:start w:val="1"/>
      <w:numFmt w:val="decimal"/>
      <w:pStyle w:val="62"/>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
    <w:nsid w:val="0000000D"/>
    <w:multiLevelType w:val="multilevel"/>
    <w:tmpl w:val="0000000D"/>
    <w:lvl w:ilvl="0" w:tentative="0">
      <w:start w:val="1"/>
      <w:numFmt w:val="none"/>
      <w:pStyle w:val="85"/>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000000E"/>
    <w:multiLevelType w:val="multilevel"/>
    <w:tmpl w:val="0000000E"/>
    <w:lvl w:ilvl="0" w:tentative="0">
      <w:start w:val="1"/>
      <w:numFmt w:val="lowerLetter"/>
      <w:pStyle w:val="103"/>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00000011"/>
    <w:multiLevelType w:val="multilevel"/>
    <w:tmpl w:val="00000011"/>
    <w:lvl w:ilvl="0" w:tentative="0">
      <w:start w:val="1"/>
      <w:numFmt w:val="decimal"/>
      <w:pStyle w:val="50"/>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5"/>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61"/>
      <w:suff w:val="nothing"/>
      <w:lvlText w:val="%1.%2.%3　"/>
      <w:lvlJc w:val="left"/>
      <w:pPr>
        <w:ind w:left="0" w:firstLine="0"/>
      </w:pPr>
      <w:rPr>
        <w:rFonts w:hint="eastAsia" w:ascii="黑体" w:hAnsi="Times New Roman" w:eastAsia="黑体"/>
        <w:b w:val="0"/>
        <w:i w:val="0"/>
        <w:sz w:val="21"/>
        <w:szCs w:val="21"/>
      </w:rPr>
    </w:lvl>
    <w:lvl w:ilvl="3" w:tentative="0">
      <w:start w:val="1"/>
      <w:numFmt w:val="decimal"/>
      <w:pStyle w:val="60"/>
      <w:suff w:val="nothing"/>
      <w:lvlText w:val="%1.%2.%3.%4　"/>
      <w:lvlJc w:val="left"/>
      <w:pPr>
        <w:ind w:left="0" w:firstLine="0"/>
      </w:pPr>
      <w:rPr>
        <w:rFonts w:hint="eastAsia" w:ascii="黑体" w:hAnsi="Times New Roman" w:eastAsia="黑体"/>
        <w:b w:val="0"/>
        <w:i w:val="0"/>
        <w:sz w:val="21"/>
      </w:rPr>
    </w:lvl>
    <w:lvl w:ilvl="4" w:tentative="0">
      <w:start w:val="1"/>
      <w:numFmt w:val="decimal"/>
      <w:pStyle w:val="59"/>
      <w:suff w:val="nothing"/>
      <w:lvlText w:val="%1.%2.%3.%4.%5　"/>
      <w:lvlJc w:val="left"/>
      <w:pPr>
        <w:ind w:left="0" w:firstLine="0"/>
      </w:pPr>
      <w:rPr>
        <w:rFonts w:hint="eastAsia" w:ascii="黑体" w:hAnsi="Times New Roman" w:eastAsia="黑体"/>
        <w:b w:val="0"/>
        <w:i w:val="0"/>
        <w:sz w:val="21"/>
      </w:rPr>
    </w:lvl>
    <w:lvl w:ilvl="5" w:tentative="0">
      <w:start w:val="1"/>
      <w:numFmt w:val="decimal"/>
      <w:pStyle w:val="75"/>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00000012"/>
    <w:multiLevelType w:val="multilevel"/>
    <w:tmpl w:val="00000012"/>
    <w:lvl w:ilvl="0" w:tentative="0">
      <w:start w:val="1"/>
      <w:numFmt w:val="none"/>
      <w:pStyle w:val="139"/>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3"/>
    <w:multiLevelType w:val="multilevel"/>
    <w:tmpl w:val="00000013"/>
    <w:lvl w:ilvl="0" w:tentative="0">
      <w:start w:val="1"/>
      <w:numFmt w:val="decimal"/>
      <w:pStyle w:val="82"/>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7">
    <w:nsid w:val="00000014"/>
    <w:multiLevelType w:val="multilevel"/>
    <w:tmpl w:val="00000014"/>
    <w:lvl w:ilvl="0" w:tentative="0">
      <w:start w:val="1"/>
      <w:numFmt w:val="upperLetter"/>
      <w:pStyle w:val="92"/>
      <w:suff w:val="space"/>
      <w:lvlText w:val="%1"/>
      <w:lvlJc w:val="left"/>
      <w:pPr>
        <w:ind w:left="623" w:hanging="425"/>
      </w:pPr>
      <w:rPr>
        <w:rFonts w:hint="eastAsia"/>
      </w:rPr>
    </w:lvl>
    <w:lvl w:ilvl="1" w:tentative="0">
      <w:start w:val="1"/>
      <w:numFmt w:val="decimal"/>
      <w:pStyle w:val="136"/>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8">
    <w:nsid w:val="00000016"/>
    <w:multiLevelType w:val="multilevel"/>
    <w:tmpl w:val="00000016"/>
    <w:lvl w:ilvl="0" w:tentative="0">
      <w:start w:val="1"/>
      <w:numFmt w:val="decimal"/>
      <w:pStyle w:val="29"/>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9">
    <w:nsid w:val="00000017"/>
    <w:multiLevelType w:val="multilevel"/>
    <w:tmpl w:val="00000017"/>
    <w:lvl w:ilvl="0" w:tentative="0">
      <w:start w:val="1"/>
      <w:numFmt w:val="decimal"/>
      <w:pStyle w:val="76"/>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0">
    <w:nsid w:val="00000018"/>
    <w:multiLevelType w:val="multilevel"/>
    <w:tmpl w:val="00000018"/>
    <w:lvl w:ilvl="0" w:tentative="0">
      <w:start w:val="1"/>
      <w:numFmt w:val="none"/>
      <w:pStyle w:val="83"/>
      <w:suff w:val="nothing"/>
      <w:lvlText w:val="%1——"/>
      <w:lvlJc w:val="left"/>
      <w:pPr>
        <w:ind w:left="833" w:hanging="408"/>
      </w:pPr>
      <w:rPr>
        <w:rFonts w:hint="eastAsia"/>
      </w:rPr>
    </w:lvl>
    <w:lvl w:ilvl="1" w:tentative="0">
      <w:start w:val="1"/>
      <w:numFmt w:val="bullet"/>
      <w:pStyle w:val="58"/>
      <w:lvlText w:val=""/>
      <w:lvlJc w:val="left"/>
      <w:pPr>
        <w:tabs>
          <w:tab w:val="left" w:pos="760"/>
        </w:tabs>
        <w:ind w:left="1264" w:hanging="413"/>
      </w:pPr>
      <w:rPr>
        <w:rFonts w:hint="default" w:ascii="Symbol" w:hAnsi="Symbol"/>
        <w:color w:val="auto"/>
      </w:rPr>
    </w:lvl>
    <w:lvl w:ilvl="2" w:tentative="0">
      <w:start w:val="1"/>
      <w:numFmt w:val="bullet"/>
      <w:pStyle w:val="73"/>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00000019"/>
    <w:multiLevelType w:val="multilevel"/>
    <w:tmpl w:val="00000019"/>
    <w:lvl w:ilvl="0" w:tentative="0">
      <w:start w:val="1"/>
      <w:numFmt w:val="lowerLetter"/>
      <w:pStyle w:val="86"/>
      <w:lvlText w:val="%1)"/>
      <w:lvlJc w:val="left"/>
      <w:pPr>
        <w:tabs>
          <w:tab w:val="left" w:pos="840"/>
        </w:tabs>
        <w:ind w:left="839" w:hanging="419"/>
      </w:pPr>
      <w:rPr>
        <w:rFonts w:hint="eastAsia" w:ascii="宋体" w:eastAsia="宋体"/>
        <w:b w:val="0"/>
        <w:i w:val="0"/>
        <w:sz w:val="21"/>
        <w:szCs w:val="21"/>
      </w:rPr>
    </w:lvl>
    <w:lvl w:ilvl="1" w:tentative="0">
      <w:start w:val="1"/>
      <w:numFmt w:val="decimal"/>
      <w:pStyle w:val="72"/>
      <w:lvlText w:val="%2)"/>
      <w:lvlJc w:val="left"/>
      <w:pPr>
        <w:tabs>
          <w:tab w:val="left" w:pos="1260"/>
        </w:tabs>
        <w:ind w:left="1259" w:hanging="419"/>
      </w:pPr>
      <w:rPr>
        <w:rFonts w:hint="eastAsia"/>
      </w:rPr>
    </w:lvl>
    <w:lvl w:ilvl="2" w:tentative="0">
      <w:start w:val="1"/>
      <w:numFmt w:val="decimal"/>
      <w:pStyle w:val="84"/>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2">
    <w:nsid w:val="00000020"/>
    <w:multiLevelType w:val="multilevel"/>
    <w:tmpl w:val="00000020"/>
    <w:lvl w:ilvl="0" w:tentative="0">
      <w:start w:val="1"/>
      <w:numFmt w:val="upperLetter"/>
      <w:pStyle w:val="123"/>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68"/>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67"/>
      <w:suff w:val="nothing"/>
      <w:lvlText w:val="%1.%2.%3　"/>
      <w:lvlJc w:val="left"/>
      <w:pPr>
        <w:ind w:left="0" w:firstLine="0"/>
      </w:pPr>
      <w:rPr>
        <w:rFonts w:hint="eastAsia" w:ascii="黑体" w:hAnsi="Times New Roman" w:eastAsia="黑体"/>
        <w:b w:val="0"/>
        <w:i w:val="0"/>
        <w:sz w:val="21"/>
      </w:rPr>
    </w:lvl>
    <w:lvl w:ilvl="3" w:tentative="0">
      <w:start w:val="1"/>
      <w:numFmt w:val="decimal"/>
      <w:pStyle w:val="66"/>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0000021"/>
    <w:multiLevelType w:val="multilevel"/>
    <w:tmpl w:val="00000021"/>
    <w:lvl w:ilvl="0" w:tentative="0">
      <w:start w:val="1"/>
      <w:numFmt w:val="decimal"/>
      <w:pStyle w:val="151"/>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4">
    <w:nsid w:val="00000027"/>
    <w:multiLevelType w:val="multilevel"/>
    <w:tmpl w:val="00000027"/>
    <w:lvl w:ilvl="0" w:tentative="0">
      <w:start w:val="1"/>
      <w:numFmt w:val="decimal"/>
      <w:pStyle w:val="150"/>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00000029"/>
    <w:multiLevelType w:val="multilevel"/>
    <w:tmpl w:val="00000029"/>
    <w:lvl w:ilvl="0" w:tentative="0">
      <w:start w:val="1"/>
      <w:numFmt w:val="upperLetter"/>
      <w:pStyle w:val="124"/>
      <w:lvlText w:val="%1"/>
      <w:lvlJc w:val="left"/>
      <w:pPr>
        <w:tabs>
          <w:tab w:val="left" w:pos="0"/>
        </w:tabs>
        <w:ind w:left="0" w:hanging="425"/>
      </w:pPr>
      <w:rPr>
        <w:rFonts w:hint="eastAsia"/>
      </w:rPr>
    </w:lvl>
    <w:lvl w:ilvl="1" w:tentative="0">
      <w:start w:val="1"/>
      <w:numFmt w:val="decimal"/>
      <w:pStyle w:val="127"/>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6">
    <w:nsid w:val="0000002A"/>
    <w:multiLevelType w:val="multilevel"/>
    <w:tmpl w:val="0000002A"/>
    <w:lvl w:ilvl="0" w:tentative="0">
      <w:start w:val="1"/>
      <w:numFmt w:val="none"/>
      <w:pStyle w:val="74"/>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7">
    <w:nsid w:val="0000002C"/>
    <w:multiLevelType w:val="multilevel"/>
    <w:tmpl w:val="0000002C"/>
    <w:lvl w:ilvl="0" w:tentative="0">
      <w:start w:val="1"/>
      <w:numFmt w:val="lowerLetter"/>
      <w:pStyle w:val="138"/>
      <w:lvlText w:val="%1)"/>
      <w:lvlJc w:val="left"/>
      <w:pPr>
        <w:tabs>
          <w:tab w:val="left" w:pos="839"/>
        </w:tabs>
        <w:ind w:left="839" w:hanging="419"/>
      </w:pPr>
      <w:rPr>
        <w:rFonts w:hint="eastAsia" w:ascii="宋体" w:eastAsia="宋体"/>
        <w:b w:val="0"/>
        <w:i w:val="0"/>
        <w:sz w:val="21"/>
      </w:rPr>
    </w:lvl>
    <w:lvl w:ilvl="1" w:tentative="0">
      <w:start w:val="1"/>
      <w:numFmt w:val="decimal"/>
      <w:pStyle w:val="134"/>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8">
    <w:nsid w:val="0DDE2B46"/>
    <w:multiLevelType w:val="multilevel"/>
    <w:tmpl w:val="0DDE2B46"/>
    <w:lvl w:ilvl="0" w:tentative="0">
      <w:start w:val="1"/>
      <w:numFmt w:val="lowerLetter"/>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num w:numId="1">
    <w:abstractNumId w:val="8"/>
  </w:num>
  <w:num w:numId="2">
    <w:abstractNumId w:val="18"/>
  </w:num>
  <w:num w:numId="3">
    <w:abstractNumId w:val="0"/>
  </w:num>
  <w:num w:numId="4">
    <w:abstractNumId w:val="4"/>
  </w:num>
  <w:num w:numId="5">
    <w:abstractNumId w:val="10"/>
  </w:num>
  <w:num w:numId="6">
    <w:abstractNumId w:val="1"/>
  </w:num>
  <w:num w:numId="7">
    <w:abstractNumId w:val="12"/>
  </w:num>
  <w:num w:numId="8">
    <w:abstractNumId w:val="11"/>
  </w:num>
  <w:num w:numId="9">
    <w:abstractNumId w:val="16"/>
  </w:num>
  <w:num w:numId="10">
    <w:abstractNumId w:val="9"/>
  </w:num>
  <w:num w:numId="11">
    <w:abstractNumId w:val="6"/>
  </w:num>
  <w:num w:numId="12">
    <w:abstractNumId w:val="2"/>
  </w:num>
  <w:num w:numId="13">
    <w:abstractNumId w:val="7"/>
  </w:num>
  <w:num w:numId="14">
    <w:abstractNumId w:val="3"/>
  </w:num>
  <w:num w:numId="15">
    <w:abstractNumId w:val="15"/>
  </w:num>
  <w:num w:numId="16">
    <w:abstractNumId w:val="17"/>
  </w:num>
  <w:num w:numId="17">
    <w:abstractNumId w:val="5"/>
  </w:num>
  <w:num w:numId="18">
    <w:abstractNumId w:val="14"/>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mirrorMargins w:val="1"/>
  <w:bordersDoNotSurroundHeader w:val="1"/>
  <w:bordersDoNotSurroundFooter w:val="1"/>
  <w:hideSpellingErrors/>
  <w:attachedTemplate r:id="rId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Y3NDQ5Y2I4ZDQ3YmNkZjQ2NjhjYzgyMzk1YWY3MmMifQ=="/>
  </w:docVars>
  <w:rsids>
    <w:rsidRoot w:val="00172A27"/>
    <w:rsid w:val="00000C79"/>
    <w:rsid w:val="00003E0B"/>
    <w:rsid w:val="00004FB6"/>
    <w:rsid w:val="00005E87"/>
    <w:rsid w:val="0000773B"/>
    <w:rsid w:val="00010A8C"/>
    <w:rsid w:val="000116E1"/>
    <w:rsid w:val="00015DA4"/>
    <w:rsid w:val="00017D29"/>
    <w:rsid w:val="0003775B"/>
    <w:rsid w:val="00041B9E"/>
    <w:rsid w:val="00041C10"/>
    <w:rsid w:val="00044B25"/>
    <w:rsid w:val="000503BB"/>
    <w:rsid w:val="000561B3"/>
    <w:rsid w:val="00056F4D"/>
    <w:rsid w:val="00057767"/>
    <w:rsid w:val="00060891"/>
    <w:rsid w:val="00065BC5"/>
    <w:rsid w:val="00067D12"/>
    <w:rsid w:val="00075887"/>
    <w:rsid w:val="00083A82"/>
    <w:rsid w:val="0009093B"/>
    <w:rsid w:val="0009119F"/>
    <w:rsid w:val="00092367"/>
    <w:rsid w:val="00094DD7"/>
    <w:rsid w:val="000A4C23"/>
    <w:rsid w:val="000B0464"/>
    <w:rsid w:val="000B44B8"/>
    <w:rsid w:val="000C13A5"/>
    <w:rsid w:val="000C3867"/>
    <w:rsid w:val="000D2045"/>
    <w:rsid w:val="000D3FEB"/>
    <w:rsid w:val="000D4868"/>
    <w:rsid w:val="000D571A"/>
    <w:rsid w:val="000E1F87"/>
    <w:rsid w:val="000E401D"/>
    <w:rsid w:val="000E642C"/>
    <w:rsid w:val="000F1026"/>
    <w:rsid w:val="000F4E84"/>
    <w:rsid w:val="0010033F"/>
    <w:rsid w:val="00113F73"/>
    <w:rsid w:val="00115D90"/>
    <w:rsid w:val="00115E65"/>
    <w:rsid w:val="00124790"/>
    <w:rsid w:val="00141260"/>
    <w:rsid w:val="0014158C"/>
    <w:rsid w:val="00141866"/>
    <w:rsid w:val="00146D53"/>
    <w:rsid w:val="001521A4"/>
    <w:rsid w:val="00154074"/>
    <w:rsid w:val="00162CE8"/>
    <w:rsid w:val="001635EE"/>
    <w:rsid w:val="0016406F"/>
    <w:rsid w:val="00172824"/>
    <w:rsid w:val="00172A27"/>
    <w:rsid w:val="0018637A"/>
    <w:rsid w:val="001975CF"/>
    <w:rsid w:val="001A4F1E"/>
    <w:rsid w:val="001A7E7D"/>
    <w:rsid w:val="001B241C"/>
    <w:rsid w:val="001C67AD"/>
    <w:rsid w:val="001C6CD7"/>
    <w:rsid w:val="001D0110"/>
    <w:rsid w:val="001D1013"/>
    <w:rsid w:val="001E2D9C"/>
    <w:rsid w:val="001E4212"/>
    <w:rsid w:val="001F21A3"/>
    <w:rsid w:val="00200A48"/>
    <w:rsid w:val="00200CDB"/>
    <w:rsid w:val="0020624E"/>
    <w:rsid w:val="00227296"/>
    <w:rsid w:val="00231EC3"/>
    <w:rsid w:val="00232620"/>
    <w:rsid w:val="00247863"/>
    <w:rsid w:val="00250DDE"/>
    <w:rsid w:val="0025590C"/>
    <w:rsid w:val="00257E52"/>
    <w:rsid w:val="00263754"/>
    <w:rsid w:val="00265247"/>
    <w:rsid w:val="00274A4A"/>
    <w:rsid w:val="002768C8"/>
    <w:rsid w:val="002855DD"/>
    <w:rsid w:val="002918AB"/>
    <w:rsid w:val="00294294"/>
    <w:rsid w:val="00294C27"/>
    <w:rsid w:val="002A0307"/>
    <w:rsid w:val="002A2D38"/>
    <w:rsid w:val="002A67A0"/>
    <w:rsid w:val="002A78AA"/>
    <w:rsid w:val="002A7912"/>
    <w:rsid w:val="002B6C6F"/>
    <w:rsid w:val="002B76B6"/>
    <w:rsid w:val="002B771E"/>
    <w:rsid w:val="002B78C0"/>
    <w:rsid w:val="002C2DEE"/>
    <w:rsid w:val="002C5DF7"/>
    <w:rsid w:val="002C7E26"/>
    <w:rsid w:val="002D6294"/>
    <w:rsid w:val="002E59A2"/>
    <w:rsid w:val="002F0BD0"/>
    <w:rsid w:val="002F3031"/>
    <w:rsid w:val="002F5E28"/>
    <w:rsid w:val="00301408"/>
    <w:rsid w:val="00301CC0"/>
    <w:rsid w:val="00306F58"/>
    <w:rsid w:val="00310EC8"/>
    <w:rsid w:val="00321360"/>
    <w:rsid w:val="0033435F"/>
    <w:rsid w:val="00336634"/>
    <w:rsid w:val="003404DA"/>
    <w:rsid w:val="003417C3"/>
    <w:rsid w:val="00351475"/>
    <w:rsid w:val="00354E0D"/>
    <w:rsid w:val="00357CD5"/>
    <w:rsid w:val="00362477"/>
    <w:rsid w:val="00367F02"/>
    <w:rsid w:val="0037170F"/>
    <w:rsid w:val="0037603E"/>
    <w:rsid w:val="00376730"/>
    <w:rsid w:val="00377291"/>
    <w:rsid w:val="003773F2"/>
    <w:rsid w:val="0039301E"/>
    <w:rsid w:val="003A166A"/>
    <w:rsid w:val="003A51A8"/>
    <w:rsid w:val="003A69F5"/>
    <w:rsid w:val="003A6BF0"/>
    <w:rsid w:val="003B49C3"/>
    <w:rsid w:val="003B64C9"/>
    <w:rsid w:val="003C09BE"/>
    <w:rsid w:val="003C09EA"/>
    <w:rsid w:val="003D6E89"/>
    <w:rsid w:val="003E0A27"/>
    <w:rsid w:val="003E3DEA"/>
    <w:rsid w:val="003F2729"/>
    <w:rsid w:val="004216D9"/>
    <w:rsid w:val="00422AD7"/>
    <w:rsid w:val="00430F55"/>
    <w:rsid w:val="00432B3A"/>
    <w:rsid w:val="00433B1B"/>
    <w:rsid w:val="0043408A"/>
    <w:rsid w:val="0044197E"/>
    <w:rsid w:val="00446123"/>
    <w:rsid w:val="0044730F"/>
    <w:rsid w:val="00450E12"/>
    <w:rsid w:val="0046399C"/>
    <w:rsid w:val="00490D5E"/>
    <w:rsid w:val="004A0CF0"/>
    <w:rsid w:val="004A44A7"/>
    <w:rsid w:val="004A4682"/>
    <w:rsid w:val="004A6C59"/>
    <w:rsid w:val="004C03C0"/>
    <w:rsid w:val="004C1D0D"/>
    <w:rsid w:val="004C2CBE"/>
    <w:rsid w:val="004D054F"/>
    <w:rsid w:val="004D0699"/>
    <w:rsid w:val="004D1B1A"/>
    <w:rsid w:val="004E0CAE"/>
    <w:rsid w:val="004E258E"/>
    <w:rsid w:val="004E4A88"/>
    <w:rsid w:val="004E4FD5"/>
    <w:rsid w:val="004E7BD6"/>
    <w:rsid w:val="004F4A46"/>
    <w:rsid w:val="00503235"/>
    <w:rsid w:val="005073A5"/>
    <w:rsid w:val="005166C4"/>
    <w:rsid w:val="005179D4"/>
    <w:rsid w:val="00522399"/>
    <w:rsid w:val="005230E5"/>
    <w:rsid w:val="0054387F"/>
    <w:rsid w:val="00544E19"/>
    <w:rsid w:val="0054552A"/>
    <w:rsid w:val="005523DE"/>
    <w:rsid w:val="00554452"/>
    <w:rsid w:val="00555B07"/>
    <w:rsid w:val="00562320"/>
    <w:rsid w:val="00562DFA"/>
    <w:rsid w:val="00564887"/>
    <w:rsid w:val="00565559"/>
    <w:rsid w:val="00572F9E"/>
    <w:rsid w:val="0057600B"/>
    <w:rsid w:val="00587F2C"/>
    <w:rsid w:val="00590C70"/>
    <w:rsid w:val="00592F5D"/>
    <w:rsid w:val="005A3746"/>
    <w:rsid w:val="005B272B"/>
    <w:rsid w:val="005B5100"/>
    <w:rsid w:val="005B61BA"/>
    <w:rsid w:val="005C10CD"/>
    <w:rsid w:val="005C4B18"/>
    <w:rsid w:val="005D6856"/>
    <w:rsid w:val="005E63C6"/>
    <w:rsid w:val="00602187"/>
    <w:rsid w:val="006059E3"/>
    <w:rsid w:val="00612870"/>
    <w:rsid w:val="00621E32"/>
    <w:rsid w:val="0062305C"/>
    <w:rsid w:val="006272E2"/>
    <w:rsid w:val="00634C7E"/>
    <w:rsid w:val="00641DD9"/>
    <w:rsid w:val="00643AA8"/>
    <w:rsid w:val="00651102"/>
    <w:rsid w:val="006621FF"/>
    <w:rsid w:val="00663E7A"/>
    <w:rsid w:val="00663FA9"/>
    <w:rsid w:val="00681D0F"/>
    <w:rsid w:val="006A0FBD"/>
    <w:rsid w:val="006A3DAD"/>
    <w:rsid w:val="006A44F5"/>
    <w:rsid w:val="006B416D"/>
    <w:rsid w:val="006B4F43"/>
    <w:rsid w:val="006C2A46"/>
    <w:rsid w:val="006C314F"/>
    <w:rsid w:val="006C37FD"/>
    <w:rsid w:val="006C46D5"/>
    <w:rsid w:val="006D409F"/>
    <w:rsid w:val="006D71FE"/>
    <w:rsid w:val="006E479E"/>
    <w:rsid w:val="006E67DB"/>
    <w:rsid w:val="006F305A"/>
    <w:rsid w:val="006F310B"/>
    <w:rsid w:val="006F670D"/>
    <w:rsid w:val="006F7856"/>
    <w:rsid w:val="00700DB0"/>
    <w:rsid w:val="00701B2C"/>
    <w:rsid w:val="00710E93"/>
    <w:rsid w:val="00715B53"/>
    <w:rsid w:val="0072439F"/>
    <w:rsid w:val="00725479"/>
    <w:rsid w:val="00731020"/>
    <w:rsid w:val="0073399D"/>
    <w:rsid w:val="00737567"/>
    <w:rsid w:val="00745098"/>
    <w:rsid w:val="007460F5"/>
    <w:rsid w:val="00752928"/>
    <w:rsid w:val="00754617"/>
    <w:rsid w:val="00760934"/>
    <w:rsid w:val="00764923"/>
    <w:rsid w:val="007762CA"/>
    <w:rsid w:val="00781996"/>
    <w:rsid w:val="00783F6F"/>
    <w:rsid w:val="007872DF"/>
    <w:rsid w:val="00792D65"/>
    <w:rsid w:val="00793DDD"/>
    <w:rsid w:val="007956CE"/>
    <w:rsid w:val="007B662A"/>
    <w:rsid w:val="007C554B"/>
    <w:rsid w:val="007D0BD0"/>
    <w:rsid w:val="007D362B"/>
    <w:rsid w:val="007D5F49"/>
    <w:rsid w:val="007D63AA"/>
    <w:rsid w:val="007E2C35"/>
    <w:rsid w:val="00800363"/>
    <w:rsid w:val="0080073A"/>
    <w:rsid w:val="008031A4"/>
    <w:rsid w:val="00804711"/>
    <w:rsid w:val="0080485D"/>
    <w:rsid w:val="008048B3"/>
    <w:rsid w:val="00805096"/>
    <w:rsid w:val="00807960"/>
    <w:rsid w:val="00816B10"/>
    <w:rsid w:val="00826F2D"/>
    <w:rsid w:val="008346C3"/>
    <w:rsid w:val="0084080E"/>
    <w:rsid w:val="00840A61"/>
    <w:rsid w:val="00851B15"/>
    <w:rsid w:val="0086204C"/>
    <w:rsid w:val="008665AC"/>
    <w:rsid w:val="00875FC3"/>
    <w:rsid w:val="00892A05"/>
    <w:rsid w:val="00893A3E"/>
    <w:rsid w:val="008A3958"/>
    <w:rsid w:val="008B6594"/>
    <w:rsid w:val="008C4B5E"/>
    <w:rsid w:val="008D1A68"/>
    <w:rsid w:val="008D218D"/>
    <w:rsid w:val="008D3404"/>
    <w:rsid w:val="008D6E13"/>
    <w:rsid w:val="008D74E9"/>
    <w:rsid w:val="008F1A49"/>
    <w:rsid w:val="008F2653"/>
    <w:rsid w:val="008F2FE8"/>
    <w:rsid w:val="008F474D"/>
    <w:rsid w:val="009012F0"/>
    <w:rsid w:val="00910E62"/>
    <w:rsid w:val="009246CF"/>
    <w:rsid w:val="00930E4C"/>
    <w:rsid w:val="0094101B"/>
    <w:rsid w:val="00943CFE"/>
    <w:rsid w:val="00947781"/>
    <w:rsid w:val="009535A8"/>
    <w:rsid w:val="00962568"/>
    <w:rsid w:val="009753FA"/>
    <w:rsid w:val="00980977"/>
    <w:rsid w:val="009819AA"/>
    <w:rsid w:val="00982956"/>
    <w:rsid w:val="0098497D"/>
    <w:rsid w:val="00984C31"/>
    <w:rsid w:val="009905F1"/>
    <w:rsid w:val="009907BE"/>
    <w:rsid w:val="009919FF"/>
    <w:rsid w:val="00997D46"/>
    <w:rsid w:val="009A2C65"/>
    <w:rsid w:val="009A440C"/>
    <w:rsid w:val="009A5B8C"/>
    <w:rsid w:val="009A6026"/>
    <w:rsid w:val="009A7A56"/>
    <w:rsid w:val="009A7EBB"/>
    <w:rsid w:val="009B1625"/>
    <w:rsid w:val="009D5A57"/>
    <w:rsid w:val="009D5B65"/>
    <w:rsid w:val="009E1261"/>
    <w:rsid w:val="009F179D"/>
    <w:rsid w:val="009F2DA4"/>
    <w:rsid w:val="009F3DEB"/>
    <w:rsid w:val="009F638D"/>
    <w:rsid w:val="009F65FC"/>
    <w:rsid w:val="00A0263F"/>
    <w:rsid w:val="00A150FA"/>
    <w:rsid w:val="00A2026C"/>
    <w:rsid w:val="00A218BA"/>
    <w:rsid w:val="00A3352D"/>
    <w:rsid w:val="00A33C83"/>
    <w:rsid w:val="00A34E9D"/>
    <w:rsid w:val="00A462FB"/>
    <w:rsid w:val="00A46BE2"/>
    <w:rsid w:val="00A5381E"/>
    <w:rsid w:val="00A567DD"/>
    <w:rsid w:val="00A821F6"/>
    <w:rsid w:val="00A87CEC"/>
    <w:rsid w:val="00A96B00"/>
    <w:rsid w:val="00AB4DE9"/>
    <w:rsid w:val="00AB62E8"/>
    <w:rsid w:val="00AB6EEB"/>
    <w:rsid w:val="00AD3C8A"/>
    <w:rsid w:val="00AD437C"/>
    <w:rsid w:val="00AD6A9C"/>
    <w:rsid w:val="00AE0D41"/>
    <w:rsid w:val="00AE4E2F"/>
    <w:rsid w:val="00AE67D2"/>
    <w:rsid w:val="00AE6C4D"/>
    <w:rsid w:val="00AE742C"/>
    <w:rsid w:val="00AF0241"/>
    <w:rsid w:val="00AF09FC"/>
    <w:rsid w:val="00AF1A1E"/>
    <w:rsid w:val="00AF3759"/>
    <w:rsid w:val="00AF7B90"/>
    <w:rsid w:val="00B00DB5"/>
    <w:rsid w:val="00B0232E"/>
    <w:rsid w:val="00B27AFE"/>
    <w:rsid w:val="00B3006D"/>
    <w:rsid w:val="00B338CD"/>
    <w:rsid w:val="00B36367"/>
    <w:rsid w:val="00B42ED8"/>
    <w:rsid w:val="00B43576"/>
    <w:rsid w:val="00B5235A"/>
    <w:rsid w:val="00B6317D"/>
    <w:rsid w:val="00B70963"/>
    <w:rsid w:val="00B739E8"/>
    <w:rsid w:val="00B74DE7"/>
    <w:rsid w:val="00B86760"/>
    <w:rsid w:val="00B86D9A"/>
    <w:rsid w:val="00B8786B"/>
    <w:rsid w:val="00B92034"/>
    <w:rsid w:val="00B92EAE"/>
    <w:rsid w:val="00BA6F73"/>
    <w:rsid w:val="00BB42A5"/>
    <w:rsid w:val="00BB66CA"/>
    <w:rsid w:val="00BC06FB"/>
    <w:rsid w:val="00BC5A33"/>
    <w:rsid w:val="00BE17E2"/>
    <w:rsid w:val="00BE56A9"/>
    <w:rsid w:val="00C00B61"/>
    <w:rsid w:val="00C047E2"/>
    <w:rsid w:val="00C05A7E"/>
    <w:rsid w:val="00C14D88"/>
    <w:rsid w:val="00C153E2"/>
    <w:rsid w:val="00C15D84"/>
    <w:rsid w:val="00C161D6"/>
    <w:rsid w:val="00C17618"/>
    <w:rsid w:val="00C20586"/>
    <w:rsid w:val="00C31B18"/>
    <w:rsid w:val="00C31EFD"/>
    <w:rsid w:val="00C357AB"/>
    <w:rsid w:val="00C4609B"/>
    <w:rsid w:val="00C639EC"/>
    <w:rsid w:val="00C701A6"/>
    <w:rsid w:val="00C85090"/>
    <w:rsid w:val="00C87D7A"/>
    <w:rsid w:val="00C9161B"/>
    <w:rsid w:val="00C91C00"/>
    <w:rsid w:val="00C94C00"/>
    <w:rsid w:val="00C95FE2"/>
    <w:rsid w:val="00CA2EAA"/>
    <w:rsid w:val="00CA6DFC"/>
    <w:rsid w:val="00CB474A"/>
    <w:rsid w:val="00CC0649"/>
    <w:rsid w:val="00CC41D8"/>
    <w:rsid w:val="00CC6BED"/>
    <w:rsid w:val="00CD2ECF"/>
    <w:rsid w:val="00CD3395"/>
    <w:rsid w:val="00CD549D"/>
    <w:rsid w:val="00CF0F7C"/>
    <w:rsid w:val="00CF3A01"/>
    <w:rsid w:val="00D001ED"/>
    <w:rsid w:val="00D014B8"/>
    <w:rsid w:val="00D14511"/>
    <w:rsid w:val="00D16A65"/>
    <w:rsid w:val="00D21791"/>
    <w:rsid w:val="00D27C9F"/>
    <w:rsid w:val="00D31A91"/>
    <w:rsid w:val="00D4050A"/>
    <w:rsid w:val="00D50B3D"/>
    <w:rsid w:val="00D5236D"/>
    <w:rsid w:val="00D82E57"/>
    <w:rsid w:val="00D85C76"/>
    <w:rsid w:val="00D929F6"/>
    <w:rsid w:val="00DA3226"/>
    <w:rsid w:val="00DA3793"/>
    <w:rsid w:val="00DB753F"/>
    <w:rsid w:val="00DC1377"/>
    <w:rsid w:val="00DC430F"/>
    <w:rsid w:val="00DC56CA"/>
    <w:rsid w:val="00DD09C8"/>
    <w:rsid w:val="00DD5B6A"/>
    <w:rsid w:val="00DD77CD"/>
    <w:rsid w:val="00DE4304"/>
    <w:rsid w:val="00DE61FC"/>
    <w:rsid w:val="00DE6E07"/>
    <w:rsid w:val="00E026EA"/>
    <w:rsid w:val="00E06D8D"/>
    <w:rsid w:val="00E10DA2"/>
    <w:rsid w:val="00E14715"/>
    <w:rsid w:val="00E20194"/>
    <w:rsid w:val="00E26740"/>
    <w:rsid w:val="00E41430"/>
    <w:rsid w:val="00E42361"/>
    <w:rsid w:val="00E4284D"/>
    <w:rsid w:val="00E42C01"/>
    <w:rsid w:val="00E52E7A"/>
    <w:rsid w:val="00E55829"/>
    <w:rsid w:val="00E627D7"/>
    <w:rsid w:val="00E63A9A"/>
    <w:rsid w:val="00E66826"/>
    <w:rsid w:val="00E736C0"/>
    <w:rsid w:val="00E8309D"/>
    <w:rsid w:val="00E84949"/>
    <w:rsid w:val="00E8549D"/>
    <w:rsid w:val="00EA0C74"/>
    <w:rsid w:val="00EA3F55"/>
    <w:rsid w:val="00EA7292"/>
    <w:rsid w:val="00EB1A1F"/>
    <w:rsid w:val="00EB24A2"/>
    <w:rsid w:val="00EC397D"/>
    <w:rsid w:val="00EC4DDA"/>
    <w:rsid w:val="00EC6986"/>
    <w:rsid w:val="00EC69BB"/>
    <w:rsid w:val="00ED463F"/>
    <w:rsid w:val="00ED57D4"/>
    <w:rsid w:val="00ED7B91"/>
    <w:rsid w:val="00ED7CBA"/>
    <w:rsid w:val="00EE2BD6"/>
    <w:rsid w:val="00EE40AF"/>
    <w:rsid w:val="00EE6D25"/>
    <w:rsid w:val="00EE7B30"/>
    <w:rsid w:val="00F01148"/>
    <w:rsid w:val="00F056C4"/>
    <w:rsid w:val="00F10C21"/>
    <w:rsid w:val="00F16A21"/>
    <w:rsid w:val="00F25057"/>
    <w:rsid w:val="00F310EB"/>
    <w:rsid w:val="00F32932"/>
    <w:rsid w:val="00F5130F"/>
    <w:rsid w:val="00F56E1F"/>
    <w:rsid w:val="00F74F5B"/>
    <w:rsid w:val="00F75F1B"/>
    <w:rsid w:val="00F76253"/>
    <w:rsid w:val="00F80990"/>
    <w:rsid w:val="00F87322"/>
    <w:rsid w:val="00F92B3B"/>
    <w:rsid w:val="00FA281B"/>
    <w:rsid w:val="00FB2537"/>
    <w:rsid w:val="00FB3DA4"/>
    <w:rsid w:val="00FC2355"/>
    <w:rsid w:val="00FC3DD0"/>
    <w:rsid w:val="00FD4C2A"/>
    <w:rsid w:val="00FD7ACB"/>
    <w:rsid w:val="00FD7E9A"/>
    <w:rsid w:val="ABF7D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qFormat="1" w:unhideWhenUsed="0" w:uiPriority="0" w:semiHidden="0" w:name="footnote text"/>
    <w:lsdException w:uiPriority="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uiPriority="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7"/>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qFormat/>
    <w:uiPriority w:val="0"/>
    <w:pPr>
      <w:widowControl/>
      <w:spacing w:before="100" w:beforeAutospacing="1" w:after="100" w:afterAutospacing="1"/>
      <w:jc w:val="left"/>
      <w:outlineLvl w:val="2"/>
    </w:pPr>
    <w:rPr>
      <w:rFonts w:ascii="宋体" w:hAnsi="宋体" w:cs="宋体"/>
      <w:b/>
      <w:bCs/>
      <w:kern w:val="0"/>
      <w:sz w:val="27"/>
      <w:szCs w:val="27"/>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qFormat/>
    <w:uiPriority w:val="0"/>
    <w:pPr>
      <w:tabs>
        <w:tab w:val="right" w:leader="dot" w:pos="9241"/>
      </w:tabs>
      <w:ind w:firstLine="500" w:firstLineChars="500"/>
      <w:jc w:val="left"/>
    </w:pPr>
    <w:rPr>
      <w:rFonts w:ascii="宋体"/>
      <w:szCs w:val="21"/>
    </w:rPr>
  </w:style>
  <w:style w:type="paragraph" w:styleId="6">
    <w:name w:val="index 8"/>
    <w:basedOn w:val="1"/>
    <w:next w:val="1"/>
    <w:qFormat/>
    <w:uiPriority w:val="0"/>
    <w:pPr>
      <w:ind w:left="1680" w:hanging="210"/>
      <w:jc w:val="left"/>
    </w:pPr>
    <w:rPr>
      <w:rFonts w:ascii="Calibri" w:hAnsi="Calibri"/>
      <w:sz w:val="20"/>
      <w:szCs w:val="20"/>
    </w:rPr>
  </w:style>
  <w:style w:type="paragraph" w:styleId="7">
    <w:name w:val="caption"/>
    <w:basedOn w:val="1"/>
    <w:next w:val="1"/>
    <w:qFormat/>
    <w:uiPriority w:val="0"/>
    <w:pPr>
      <w:spacing w:before="152" w:after="160"/>
    </w:pPr>
    <w:rPr>
      <w:rFonts w:ascii="Arial" w:hAnsi="Arial" w:eastAsia="黑体" w:cs="Arial"/>
      <w:sz w:val="20"/>
      <w:szCs w:val="20"/>
    </w:rPr>
  </w:style>
  <w:style w:type="paragraph" w:styleId="8">
    <w:name w:val="index 5"/>
    <w:basedOn w:val="1"/>
    <w:next w:val="1"/>
    <w:qFormat/>
    <w:uiPriority w:val="0"/>
    <w:pPr>
      <w:ind w:left="1050" w:hanging="210"/>
      <w:jc w:val="left"/>
    </w:pPr>
    <w:rPr>
      <w:rFonts w:ascii="Calibri" w:hAnsi="Calibri"/>
      <w:sz w:val="20"/>
      <w:szCs w:val="20"/>
    </w:rPr>
  </w:style>
  <w:style w:type="paragraph" w:styleId="9">
    <w:name w:val="Document Map"/>
    <w:basedOn w:val="1"/>
    <w:qFormat/>
    <w:uiPriority w:val="0"/>
    <w:pPr>
      <w:shd w:val="clear" w:color="auto" w:fill="000080"/>
    </w:pPr>
  </w:style>
  <w:style w:type="paragraph" w:styleId="10">
    <w:name w:val="index 6"/>
    <w:basedOn w:val="1"/>
    <w:next w:val="1"/>
    <w:qFormat/>
    <w:uiPriority w:val="0"/>
    <w:pPr>
      <w:ind w:left="1260" w:hanging="210"/>
      <w:jc w:val="left"/>
    </w:pPr>
    <w:rPr>
      <w:rFonts w:ascii="Calibri" w:hAnsi="Calibri"/>
      <w:sz w:val="20"/>
      <w:szCs w:val="20"/>
    </w:rPr>
  </w:style>
  <w:style w:type="paragraph" w:styleId="11">
    <w:name w:val="Body Text"/>
    <w:basedOn w:val="1"/>
    <w:qFormat/>
    <w:uiPriority w:val="0"/>
    <w:pPr>
      <w:spacing w:after="120"/>
    </w:pPr>
  </w:style>
  <w:style w:type="paragraph" w:styleId="12">
    <w:name w:val="Body Text Indent"/>
    <w:basedOn w:val="1"/>
    <w:qFormat/>
    <w:uiPriority w:val="0"/>
    <w:pPr>
      <w:spacing w:after="120"/>
      <w:ind w:left="420" w:leftChars="200"/>
    </w:pPr>
  </w:style>
  <w:style w:type="paragraph" w:styleId="13">
    <w:name w:val="List 2"/>
    <w:basedOn w:val="1"/>
    <w:qFormat/>
    <w:uiPriority w:val="0"/>
    <w:pPr>
      <w:ind w:left="100" w:leftChars="200" w:hanging="200" w:hangingChars="200"/>
    </w:pPr>
  </w:style>
  <w:style w:type="paragraph" w:styleId="14">
    <w:name w:val="index 4"/>
    <w:basedOn w:val="1"/>
    <w:next w:val="1"/>
    <w:qFormat/>
    <w:uiPriority w:val="0"/>
    <w:pPr>
      <w:ind w:left="840" w:hanging="210"/>
      <w:jc w:val="left"/>
    </w:pPr>
    <w:rPr>
      <w:rFonts w:ascii="Calibri" w:hAnsi="Calibri"/>
      <w:sz w:val="20"/>
      <w:szCs w:val="20"/>
    </w:rPr>
  </w:style>
  <w:style w:type="paragraph" w:styleId="15">
    <w:name w:val="toc 5"/>
    <w:basedOn w:val="1"/>
    <w:next w:val="1"/>
    <w:qFormat/>
    <w:uiPriority w:val="0"/>
    <w:pPr>
      <w:tabs>
        <w:tab w:val="right" w:leader="dot" w:pos="9241"/>
      </w:tabs>
      <w:ind w:firstLine="300" w:firstLineChars="300"/>
      <w:jc w:val="left"/>
    </w:pPr>
    <w:rPr>
      <w:rFonts w:ascii="宋体"/>
      <w:szCs w:val="21"/>
    </w:rPr>
  </w:style>
  <w:style w:type="paragraph" w:styleId="16">
    <w:name w:val="toc 3"/>
    <w:basedOn w:val="1"/>
    <w:next w:val="1"/>
    <w:qFormat/>
    <w:uiPriority w:val="0"/>
    <w:pPr>
      <w:tabs>
        <w:tab w:val="right" w:leader="dot" w:pos="9241"/>
      </w:tabs>
      <w:ind w:firstLine="100" w:firstLineChars="100"/>
      <w:jc w:val="left"/>
    </w:pPr>
    <w:rPr>
      <w:rFonts w:ascii="宋体"/>
      <w:szCs w:val="21"/>
    </w:rPr>
  </w:style>
  <w:style w:type="paragraph" w:styleId="17">
    <w:name w:val="Plain Text"/>
    <w:basedOn w:val="1"/>
    <w:qFormat/>
    <w:uiPriority w:val="0"/>
    <w:rPr>
      <w:rFonts w:ascii="宋体" w:hAnsi="Courier New" w:cs="Courier New"/>
      <w:szCs w:val="21"/>
    </w:rPr>
  </w:style>
  <w:style w:type="paragraph" w:styleId="18">
    <w:name w:val="toc 8"/>
    <w:basedOn w:val="1"/>
    <w:next w:val="1"/>
    <w:qFormat/>
    <w:uiPriority w:val="0"/>
    <w:pPr>
      <w:tabs>
        <w:tab w:val="right" w:leader="dot" w:pos="9241"/>
      </w:tabs>
      <w:ind w:firstLine="607" w:firstLineChars="600"/>
      <w:jc w:val="left"/>
    </w:pPr>
    <w:rPr>
      <w:rFonts w:ascii="宋体"/>
      <w:szCs w:val="21"/>
    </w:rPr>
  </w:style>
  <w:style w:type="paragraph" w:styleId="19">
    <w:name w:val="index 3"/>
    <w:basedOn w:val="1"/>
    <w:next w:val="1"/>
    <w:qFormat/>
    <w:uiPriority w:val="0"/>
    <w:pPr>
      <w:ind w:left="630" w:hanging="210"/>
      <w:jc w:val="left"/>
    </w:pPr>
    <w:rPr>
      <w:rFonts w:ascii="Calibri" w:hAnsi="Calibri"/>
      <w:sz w:val="20"/>
      <w:szCs w:val="20"/>
    </w:rPr>
  </w:style>
  <w:style w:type="paragraph" w:styleId="20">
    <w:name w:val="Date"/>
    <w:basedOn w:val="1"/>
    <w:next w:val="1"/>
    <w:qFormat/>
    <w:uiPriority w:val="0"/>
    <w:pPr>
      <w:ind w:left="100" w:leftChars="2500"/>
    </w:pPr>
  </w:style>
  <w:style w:type="paragraph" w:styleId="21">
    <w:name w:val="endnote text"/>
    <w:basedOn w:val="1"/>
    <w:qFormat/>
    <w:uiPriority w:val="0"/>
    <w:pPr>
      <w:snapToGrid w:val="0"/>
      <w:jc w:val="left"/>
    </w:pPr>
  </w:style>
  <w:style w:type="paragraph" w:styleId="22">
    <w:name w:val="footer"/>
    <w:basedOn w:val="1"/>
    <w:qFormat/>
    <w:uiPriority w:val="0"/>
    <w:pPr>
      <w:snapToGrid w:val="0"/>
      <w:ind w:right="210" w:rightChars="100"/>
      <w:jc w:val="right"/>
    </w:pPr>
    <w:rPr>
      <w:sz w:val="18"/>
      <w:szCs w:val="18"/>
    </w:rPr>
  </w:style>
  <w:style w:type="paragraph" w:styleId="23">
    <w:name w:val="header"/>
    <w:basedOn w:val="1"/>
    <w:qFormat/>
    <w:uiPriority w:val="0"/>
    <w:pPr>
      <w:snapToGrid w:val="0"/>
      <w:jc w:val="left"/>
    </w:pPr>
    <w:rPr>
      <w:sz w:val="18"/>
      <w:szCs w:val="18"/>
    </w:rPr>
  </w:style>
  <w:style w:type="paragraph" w:styleId="24">
    <w:name w:val="toc 1"/>
    <w:basedOn w:val="1"/>
    <w:next w:val="1"/>
    <w:qFormat/>
    <w:uiPriority w:val="0"/>
    <w:pPr>
      <w:tabs>
        <w:tab w:val="right" w:leader="dot" w:pos="9242"/>
      </w:tabs>
      <w:spacing w:beforeLines="25" w:afterLines="25"/>
      <w:jc w:val="left"/>
    </w:pPr>
    <w:rPr>
      <w:rFonts w:ascii="宋体"/>
      <w:szCs w:val="21"/>
    </w:rPr>
  </w:style>
  <w:style w:type="paragraph" w:styleId="25">
    <w:name w:val="toc 4"/>
    <w:basedOn w:val="1"/>
    <w:next w:val="1"/>
    <w:qFormat/>
    <w:uiPriority w:val="0"/>
    <w:pPr>
      <w:tabs>
        <w:tab w:val="right" w:leader="dot" w:pos="9241"/>
      </w:tabs>
      <w:ind w:firstLine="200" w:firstLineChars="200"/>
      <w:jc w:val="left"/>
    </w:pPr>
    <w:rPr>
      <w:rFonts w:ascii="宋体"/>
      <w:szCs w:val="21"/>
    </w:rPr>
  </w:style>
  <w:style w:type="paragraph" w:styleId="26">
    <w:name w:val="index heading"/>
    <w:basedOn w:val="1"/>
    <w:next w:val="27"/>
    <w:qFormat/>
    <w:uiPriority w:val="0"/>
    <w:pPr>
      <w:spacing w:before="120" w:after="120"/>
      <w:jc w:val="center"/>
    </w:pPr>
    <w:rPr>
      <w:rFonts w:ascii="Calibri" w:hAnsi="Calibri"/>
      <w:b/>
      <w:bCs/>
      <w:iCs/>
      <w:szCs w:val="20"/>
    </w:rPr>
  </w:style>
  <w:style w:type="paragraph" w:styleId="27">
    <w:name w:val="index 1"/>
    <w:basedOn w:val="1"/>
    <w:next w:val="28"/>
    <w:qFormat/>
    <w:uiPriority w:val="0"/>
    <w:pPr>
      <w:tabs>
        <w:tab w:val="right" w:leader="dot" w:pos="9299"/>
      </w:tabs>
      <w:jc w:val="left"/>
    </w:pPr>
    <w:rPr>
      <w:rFonts w:ascii="宋体"/>
      <w:szCs w:val="21"/>
    </w:rPr>
  </w:style>
  <w:style w:type="paragraph" w:customStyle="1" w:styleId="28">
    <w:name w:val="段"/>
    <w:link w:val="52"/>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9">
    <w:name w:val="footnote text"/>
    <w:basedOn w:val="1"/>
    <w:qFormat/>
    <w:uiPriority w:val="0"/>
    <w:pPr>
      <w:numPr>
        <w:ilvl w:val="0"/>
        <w:numId w:val="1"/>
      </w:numPr>
      <w:snapToGrid w:val="0"/>
      <w:jc w:val="left"/>
    </w:pPr>
    <w:rPr>
      <w:rFonts w:ascii="宋体"/>
      <w:sz w:val="18"/>
      <w:szCs w:val="18"/>
    </w:rPr>
  </w:style>
  <w:style w:type="paragraph" w:styleId="30">
    <w:name w:val="toc 6"/>
    <w:basedOn w:val="1"/>
    <w:next w:val="1"/>
    <w:qFormat/>
    <w:uiPriority w:val="0"/>
    <w:pPr>
      <w:tabs>
        <w:tab w:val="right" w:leader="dot" w:pos="9241"/>
      </w:tabs>
      <w:ind w:firstLine="400" w:firstLineChars="400"/>
      <w:jc w:val="left"/>
    </w:pPr>
    <w:rPr>
      <w:rFonts w:ascii="宋体"/>
      <w:szCs w:val="21"/>
    </w:rPr>
  </w:style>
  <w:style w:type="paragraph" w:styleId="31">
    <w:name w:val="index 7"/>
    <w:basedOn w:val="1"/>
    <w:next w:val="1"/>
    <w:qFormat/>
    <w:uiPriority w:val="0"/>
    <w:pPr>
      <w:ind w:left="1470" w:hanging="210"/>
      <w:jc w:val="left"/>
    </w:pPr>
    <w:rPr>
      <w:rFonts w:ascii="Calibri" w:hAnsi="Calibri"/>
      <w:sz w:val="20"/>
      <w:szCs w:val="20"/>
    </w:rPr>
  </w:style>
  <w:style w:type="paragraph" w:styleId="32">
    <w:name w:val="index 9"/>
    <w:basedOn w:val="1"/>
    <w:next w:val="1"/>
    <w:qFormat/>
    <w:uiPriority w:val="0"/>
    <w:pPr>
      <w:ind w:left="1890" w:hanging="210"/>
      <w:jc w:val="left"/>
    </w:pPr>
    <w:rPr>
      <w:rFonts w:ascii="Calibri" w:hAnsi="Calibri"/>
      <w:sz w:val="20"/>
      <w:szCs w:val="20"/>
    </w:rPr>
  </w:style>
  <w:style w:type="paragraph" w:styleId="33">
    <w:name w:val="toc 2"/>
    <w:basedOn w:val="1"/>
    <w:next w:val="1"/>
    <w:qFormat/>
    <w:uiPriority w:val="0"/>
    <w:pPr>
      <w:tabs>
        <w:tab w:val="right" w:leader="dot" w:pos="9242"/>
      </w:tabs>
    </w:pPr>
    <w:rPr>
      <w:rFonts w:ascii="宋体"/>
      <w:szCs w:val="21"/>
    </w:rPr>
  </w:style>
  <w:style w:type="paragraph" w:styleId="34">
    <w:name w:val="toc 9"/>
    <w:basedOn w:val="1"/>
    <w:next w:val="1"/>
    <w:qFormat/>
    <w:uiPriority w:val="0"/>
    <w:pPr>
      <w:ind w:left="1470"/>
      <w:jc w:val="left"/>
    </w:pPr>
    <w:rPr>
      <w:sz w:val="20"/>
      <w:szCs w:val="20"/>
    </w:rPr>
  </w:style>
  <w:style w:type="paragraph" w:styleId="35">
    <w:name w:val="Normal (Web)"/>
    <w:basedOn w:val="1"/>
    <w:qFormat/>
    <w:uiPriority w:val="99"/>
    <w:pPr>
      <w:widowControl/>
      <w:spacing w:before="100" w:beforeAutospacing="1" w:after="100" w:afterAutospacing="1"/>
      <w:jc w:val="left"/>
    </w:pPr>
    <w:rPr>
      <w:kern w:val="0"/>
      <w:sz w:val="24"/>
    </w:rPr>
  </w:style>
  <w:style w:type="paragraph" w:styleId="36">
    <w:name w:val="index 2"/>
    <w:basedOn w:val="1"/>
    <w:next w:val="1"/>
    <w:qFormat/>
    <w:uiPriority w:val="0"/>
    <w:pPr>
      <w:ind w:left="420" w:hanging="210"/>
      <w:jc w:val="left"/>
    </w:pPr>
    <w:rPr>
      <w:rFonts w:ascii="Calibri" w:hAnsi="Calibri"/>
      <w:sz w:val="20"/>
      <w:szCs w:val="20"/>
    </w:rPr>
  </w:style>
  <w:style w:type="table" w:styleId="38">
    <w:name w:val="Table Grid"/>
    <w:basedOn w:val="37"/>
    <w:qFormat/>
    <w:uiPriority w:val="0"/>
    <w:pPr>
      <w:numPr>
        <w:numId w:val="2"/>
      </w:numPr>
      <w:ind w:left="0" w:firstLine="0"/>
    </w:pPr>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0">
    <w:name w:val="Strong"/>
    <w:basedOn w:val="39"/>
    <w:qFormat/>
    <w:uiPriority w:val="22"/>
    <w:rPr>
      <w:b/>
      <w:bCs/>
    </w:rPr>
  </w:style>
  <w:style w:type="character" w:styleId="41">
    <w:name w:val="endnote reference"/>
    <w:basedOn w:val="39"/>
    <w:qFormat/>
    <w:uiPriority w:val="0"/>
    <w:rPr>
      <w:vertAlign w:val="superscript"/>
    </w:rPr>
  </w:style>
  <w:style w:type="character" w:styleId="42">
    <w:name w:val="page number"/>
    <w:basedOn w:val="39"/>
    <w:qFormat/>
    <w:uiPriority w:val="0"/>
    <w:rPr>
      <w:rFonts w:ascii="Times New Roman" w:hAnsi="Times New Roman" w:eastAsia="宋体"/>
      <w:sz w:val="18"/>
    </w:rPr>
  </w:style>
  <w:style w:type="character" w:styleId="43">
    <w:name w:val="FollowedHyperlink"/>
    <w:basedOn w:val="39"/>
    <w:qFormat/>
    <w:uiPriority w:val="0"/>
    <w:rPr>
      <w:color w:val="800080"/>
      <w:u w:val="single"/>
    </w:rPr>
  </w:style>
  <w:style w:type="character" w:styleId="44">
    <w:name w:val="Emphasis"/>
    <w:basedOn w:val="39"/>
    <w:qFormat/>
    <w:uiPriority w:val="0"/>
    <w:rPr>
      <w:i/>
      <w:iCs/>
    </w:rPr>
  </w:style>
  <w:style w:type="character" w:styleId="45">
    <w:name w:val="Hyperlink"/>
    <w:basedOn w:val="39"/>
    <w:qFormat/>
    <w:uiPriority w:val="0"/>
    <w:rPr>
      <w:color w:val="0000FF"/>
      <w:spacing w:val="0"/>
      <w:w w:val="100"/>
      <w:szCs w:val="21"/>
      <w:u w:val="single"/>
      <w:lang w:val="en-US" w:eastAsia="zh-CN"/>
    </w:rPr>
  </w:style>
  <w:style w:type="character" w:styleId="46">
    <w:name w:val="footnote reference"/>
    <w:basedOn w:val="39"/>
    <w:qFormat/>
    <w:uiPriority w:val="0"/>
    <w:rPr>
      <w:vertAlign w:val="superscript"/>
    </w:rPr>
  </w:style>
  <w:style w:type="character" w:customStyle="1" w:styleId="47">
    <w:name w:val="首示例 Char Char"/>
    <w:basedOn w:val="39"/>
    <w:link w:val="48"/>
    <w:qFormat/>
    <w:uiPriority w:val="0"/>
    <w:rPr>
      <w:rFonts w:ascii="宋体" w:hAnsi="宋体"/>
      <w:kern w:val="2"/>
      <w:sz w:val="18"/>
      <w:szCs w:val="18"/>
      <w:lang w:val="en-US" w:eastAsia="zh-CN" w:bidi="ar-SA"/>
    </w:rPr>
  </w:style>
  <w:style w:type="paragraph" w:customStyle="1" w:styleId="48">
    <w:name w:val="首示例"/>
    <w:next w:val="28"/>
    <w:link w:val="47"/>
    <w:qFormat/>
    <w:uiPriority w:val="0"/>
    <w:pPr>
      <w:numPr>
        <w:ilvl w:val="0"/>
        <w:numId w:val="3"/>
      </w:numPr>
      <w:tabs>
        <w:tab w:val="left" w:pos="360"/>
      </w:tabs>
      <w:ind w:firstLine="0"/>
    </w:pPr>
    <w:rPr>
      <w:rFonts w:ascii="宋体" w:hAnsi="宋体" w:eastAsia="宋体" w:cs="Times New Roman"/>
      <w:kern w:val="2"/>
      <w:sz w:val="18"/>
      <w:szCs w:val="18"/>
      <w:lang w:val="en-US" w:eastAsia="zh-CN" w:bidi="ar-SA"/>
    </w:rPr>
  </w:style>
  <w:style w:type="character" w:customStyle="1" w:styleId="49">
    <w:name w:val="章标题 Char Char"/>
    <w:basedOn w:val="39"/>
    <w:link w:val="50"/>
    <w:qFormat/>
    <w:uiPriority w:val="0"/>
    <w:rPr>
      <w:rFonts w:ascii="黑体" w:eastAsia="黑体"/>
      <w:sz w:val="21"/>
      <w:lang w:val="en-US" w:eastAsia="zh-CN" w:bidi="ar-SA"/>
    </w:rPr>
  </w:style>
  <w:style w:type="paragraph" w:customStyle="1" w:styleId="50">
    <w:name w:val="章标题"/>
    <w:next w:val="28"/>
    <w:link w:val="49"/>
    <w:qFormat/>
    <w:uiPriority w:val="0"/>
    <w:pPr>
      <w:numPr>
        <w:ilvl w:val="0"/>
        <w:numId w:val="4"/>
      </w:numPr>
      <w:spacing w:beforeLines="100" w:afterLines="100"/>
      <w:jc w:val="both"/>
      <w:outlineLvl w:val="1"/>
    </w:pPr>
    <w:rPr>
      <w:rFonts w:ascii="黑体" w:hAnsi="Times New Roman" w:eastAsia="黑体" w:cs="Times New Roman"/>
      <w:sz w:val="21"/>
      <w:lang w:val="en-US" w:eastAsia="zh-CN" w:bidi="ar-SA"/>
    </w:rPr>
  </w:style>
  <w:style w:type="character" w:customStyle="1" w:styleId="51">
    <w:name w:val="附录公式 Char Char"/>
    <w:basedOn w:val="52"/>
    <w:link w:val="53"/>
    <w:qFormat/>
    <w:uiPriority w:val="0"/>
    <w:rPr>
      <w:rFonts w:ascii="宋体"/>
      <w:sz w:val="21"/>
      <w:lang w:val="en-US" w:eastAsia="zh-CN" w:bidi="ar-SA"/>
    </w:rPr>
  </w:style>
  <w:style w:type="character" w:customStyle="1" w:styleId="52">
    <w:name w:val="段 Char Char"/>
    <w:basedOn w:val="39"/>
    <w:link w:val="28"/>
    <w:qFormat/>
    <w:uiPriority w:val="0"/>
    <w:rPr>
      <w:rFonts w:ascii="宋体"/>
      <w:sz w:val="21"/>
      <w:lang w:val="en-US" w:eastAsia="zh-CN" w:bidi="ar-SA"/>
    </w:rPr>
  </w:style>
  <w:style w:type="paragraph" w:customStyle="1" w:styleId="53">
    <w:name w:val="附录公式"/>
    <w:basedOn w:val="28"/>
    <w:next w:val="28"/>
    <w:link w:val="51"/>
    <w:qFormat/>
    <w:uiPriority w:val="0"/>
  </w:style>
  <w:style w:type="character" w:customStyle="1" w:styleId="54">
    <w:name w:val="一级条标题 Char Char"/>
    <w:basedOn w:val="49"/>
    <w:link w:val="55"/>
    <w:qFormat/>
    <w:uiPriority w:val="0"/>
    <w:rPr>
      <w:rFonts w:ascii="黑体" w:eastAsia="黑体"/>
      <w:sz w:val="21"/>
      <w:szCs w:val="21"/>
      <w:lang w:val="en-US" w:eastAsia="zh-CN" w:bidi="ar-SA"/>
    </w:rPr>
  </w:style>
  <w:style w:type="paragraph" w:customStyle="1" w:styleId="55">
    <w:name w:val="一级条标题"/>
    <w:next w:val="28"/>
    <w:link w:val="54"/>
    <w:qFormat/>
    <w:uiPriority w:val="0"/>
    <w:pPr>
      <w:numPr>
        <w:ilvl w:val="1"/>
        <w:numId w:val="4"/>
      </w:numPr>
      <w:spacing w:beforeLines="50" w:afterLines="50"/>
      <w:outlineLvl w:val="2"/>
    </w:pPr>
    <w:rPr>
      <w:rFonts w:ascii="Times New Roman" w:hAnsi="Times New Roman" w:eastAsia="宋体" w:cs="Times New Roman"/>
      <w:szCs w:val="21"/>
      <w:lang w:val="en-US" w:eastAsia="zh-CN" w:bidi="ar-SA"/>
    </w:rPr>
  </w:style>
  <w:style w:type="character" w:customStyle="1" w:styleId="56">
    <w:name w:val="style1"/>
    <w:basedOn w:val="39"/>
    <w:qFormat/>
    <w:uiPriority w:val="0"/>
  </w:style>
  <w:style w:type="character" w:customStyle="1" w:styleId="57">
    <w:name w:val="发布"/>
    <w:basedOn w:val="39"/>
    <w:qFormat/>
    <w:uiPriority w:val="0"/>
    <w:rPr>
      <w:rFonts w:ascii="黑体" w:eastAsia="黑体"/>
      <w:spacing w:val="85"/>
      <w:w w:val="100"/>
      <w:position w:val="3"/>
      <w:sz w:val="28"/>
      <w:szCs w:val="28"/>
    </w:rPr>
  </w:style>
  <w:style w:type="paragraph" w:customStyle="1" w:styleId="58">
    <w:name w:val="列项●（二级）"/>
    <w:qFormat/>
    <w:uiPriority w:val="0"/>
    <w:pPr>
      <w:numPr>
        <w:ilvl w:val="1"/>
        <w:numId w:val="5"/>
      </w:numPr>
      <w:tabs>
        <w:tab w:val="left" w:pos="840"/>
      </w:tabs>
      <w:jc w:val="both"/>
    </w:pPr>
    <w:rPr>
      <w:rFonts w:ascii="宋体" w:hAnsi="Times New Roman" w:eastAsia="宋体" w:cs="Times New Roman"/>
      <w:sz w:val="21"/>
      <w:lang w:val="en-US" w:eastAsia="zh-CN" w:bidi="ar-SA"/>
    </w:rPr>
  </w:style>
  <w:style w:type="paragraph" w:customStyle="1" w:styleId="59">
    <w:name w:val="四级条标题"/>
    <w:basedOn w:val="60"/>
    <w:next w:val="28"/>
    <w:qFormat/>
    <w:uiPriority w:val="0"/>
    <w:pPr>
      <w:numPr>
        <w:ilvl w:val="4"/>
      </w:numPr>
      <w:outlineLvl w:val="5"/>
    </w:pPr>
  </w:style>
  <w:style w:type="paragraph" w:customStyle="1" w:styleId="60">
    <w:name w:val="三级条标题"/>
    <w:basedOn w:val="61"/>
    <w:next w:val="28"/>
    <w:qFormat/>
    <w:uiPriority w:val="0"/>
    <w:pPr>
      <w:numPr>
        <w:ilvl w:val="3"/>
      </w:numPr>
      <w:outlineLvl w:val="4"/>
    </w:pPr>
  </w:style>
  <w:style w:type="paragraph" w:customStyle="1" w:styleId="61">
    <w:name w:val="二级条标题"/>
    <w:basedOn w:val="55"/>
    <w:next w:val="28"/>
    <w:qFormat/>
    <w:uiPriority w:val="0"/>
    <w:pPr>
      <w:numPr>
        <w:ilvl w:val="2"/>
      </w:numPr>
      <w:spacing w:beforeLines="0" w:afterLines="0"/>
      <w:outlineLvl w:val="3"/>
    </w:pPr>
  </w:style>
  <w:style w:type="paragraph" w:customStyle="1" w:styleId="62">
    <w:name w:val="注×："/>
    <w:qFormat/>
    <w:uiPriority w:val="0"/>
    <w:pPr>
      <w:widowControl w:val="0"/>
      <w:numPr>
        <w:ilvl w:val="0"/>
        <w:numId w:val="6"/>
      </w:numPr>
      <w:autoSpaceDE w:val="0"/>
      <w:autoSpaceDN w:val="0"/>
      <w:jc w:val="both"/>
    </w:pPr>
    <w:rPr>
      <w:rFonts w:ascii="宋体" w:hAnsi="Times New Roman" w:eastAsia="宋体" w:cs="Times New Roman"/>
      <w:sz w:val="18"/>
      <w:szCs w:val="18"/>
      <w:lang w:val="en-US" w:eastAsia="zh-CN" w:bidi="ar-SA"/>
    </w:rPr>
  </w:style>
  <w:style w:type="paragraph" w:customStyle="1" w:styleId="63">
    <w:name w:val="附录四级无"/>
    <w:basedOn w:val="64"/>
    <w:qFormat/>
    <w:uiPriority w:val="0"/>
    <w:pPr>
      <w:spacing w:beforeLines="0" w:afterLines="0"/>
    </w:pPr>
    <w:rPr>
      <w:rFonts w:ascii="宋体" w:eastAsia="宋体"/>
      <w:szCs w:val="21"/>
    </w:rPr>
  </w:style>
  <w:style w:type="paragraph" w:customStyle="1" w:styleId="64">
    <w:name w:val="附录四级条标题"/>
    <w:basedOn w:val="65"/>
    <w:next w:val="28"/>
    <w:qFormat/>
    <w:uiPriority w:val="0"/>
    <w:pPr>
      <w:numPr>
        <w:ilvl w:val="5"/>
      </w:numPr>
      <w:tabs>
        <w:tab w:val="left" w:pos="360"/>
      </w:tabs>
      <w:outlineLvl w:val="5"/>
    </w:pPr>
  </w:style>
  <w:style w:type="paragraph" w:customStyle="1" w:styleId="65">
    <w:name w:val="附录三级条标题"/>
    <w:basedOn w:val="66"/>
    <w:next w:val="28"/>
    <w:qFormat/>
    <w:uiPriority w:val="0"/>
    <w:pPr>
      <w:numPr>
        <w:ilvl w:val="0"/>
        <w:numId w:val="0"/>
      </w:numPr>
      <w:tabs>
        <w:tab w:val="left" w:pos="360"/>
      </w:tabs>
      <w:outlineLvl w:val="4"/>
    </w:pPr>
  </w:style>
  <w:style w:type="paragraph" w:customStyle="1" w:styleId="66">
    <w:name w:val="附录二级条标题"/>
    <w:basedOn w:val="1"/>
    <w:next w:val="28"/>
    <w:qFormat/>
    <w:uiPriority w:val="0"/>
    <w:pPr>
      <w:widowControl/>
      <w:numPr>
        <w:ilvl w:val="3"/>
        <w:numId w:val="7"/>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67">
    <w:name w:val="附录一级条标题"/>
    <w:basedOn w:val="68"/>
    <w:next w:val="28"/>
    <w:qFormat/>
    <w:uiPriority w:val="0"/>
    <w:pPr>
      <w:numPr>
        <w:ilvl w:val="2"/>
      </w:numPr>
      <w:tabs>
        <w:tab w:val="left" w:pos="360"/>
      </w:tabs>
      <w:autoSpaceDN w:val="0"/>
      <w:spacing w:beforeLines="50" w:afterLines="50"/>
      <w:outlineLvl w:val="2"/>
    </w:pPr>
  </w:style>
  <w:style w:type="paragraph" w:customStyle="1" w:styleId="68">
    <w:name w:val="附录章标题"/>
    <w:next w:val="28"/>
    <w:qFormat/>
    <w:uiPriority w:val="0"/>
    <w:pPr>
      <w:numPr>
        <w:ilvl w:val="1"/>
        <w:numId w:val="7"/>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69">
    <w:name w:val="前言、引言标题"/>
    <w:next w:val="28"/>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70">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71">
    <w:name w:val="默认段落字体 Para Char Char Char Char Char Char Char"/>
    <w:basedOn w:val="1"/>
    <w:qFormat/>
    <w:uiPriority w:val="0"/>
  </w:style>
  <w:style w:type="paragraph" w:customStyle="1" w:styleId="72">
    <w:name w:val="数字编号列项（二级）"/>
    <w:qFormat/>
    <w:uiPriority w:val="0"/>
    <w:pPr>
      <w:numPr>
        <w:ilvl w:val="1"/>
        <w:numId w:val="8"/>
      </w:numPr>
      <w:jc w:val="both"/>
    </w:pPr>
    <w:rPr>
      <w:rFonts w:ascii="宋体" w:hAnsi="Times New Roman" w:eastAsia="宋体" w:cs="Times New Roman"/>
      <w:sz w:val="21"/>
      <w:lang w:val="en-US" w:eastAsia="zh-CN" w:bidi="ar-SA"/>
    </w:rPr>
  </w:style>
  <w:style w:type="paragraph" w:customStyle="1" w:styleId="73">
    <w:name w:val="列项◆（三级）"/>
    <w:basedOn w:val="1"/>
    <w:qFormat/>
    <w:uiPriority w:val="0"/>
    <w:pPr>
      <w:numPr>
        <w:ilvl w:val="2"/>
        <w:numId w:val="5"/>
      </w:numPr>
    </w:pPr>
    <w:rPr>
      <w:rFonts w:ascii="宋体"/>
      <w:szCs w:val="21"/>
    </w:rPr>
  </w:style>
  <w:style w:type="paragraph" w:customStyle="1" w:styleId="74">
    <w:name w:val="注："/>
    <w:next w:val="28"/>
    <w:qFormat/>
    <w:uiPriority w:val="0"/>
    <w:pPr>
      <w:widowControl w:val="0"/>
      <w:numPr>
        <w:ilvl w:val="0"/>
        <w:numId w:val="9"/>
      </w:numPr>
      <w:autoSpaceDE w:val="0"/>
      <w:autoSpaceDN w:val="0"/>
      <w:jc w:val="both"/>
    </w:pPr>
    <w:rPr>
      <w:rFonts w:ascii="宋体" w:hAnsi="Times New Roman" w:eastAsia="宋体" w:cs="Times New Roman"/>
      <w:sz w:val="18"/>
      <w:szCs w:val="18"/>
      <w:lang w:val="en-US" w:eastAsia="zh-CN" w:bidi="ar-SA"/>
    </w:rPr>
  </w:style>
  <w:style w:type="paragraph" w:customStyle="1" w:styleId="75">
    <w:name w:val="五级条标题"/>
    <w:basedOn w:val="59"/>
    <w:next w:val="28"/>
    <w:qFormat/>
    <w:uiPriority w:val="0"/>
    <w:pPr>
      <w:numPr>
        <w:ilvl w:val="5"/>
      </w:numPr>
      <w:outlineLvl w:val="6"/>
    </w:pPr>
  </w:style>
  <w:style w:type="paragraph" w:customStyle="1" w:styleId="76">
    <w:name w:val="示例×："/>
    <w:basedOn w:val="50"/>
    <w:qFormat/>
    <w:uiPriority w:val="0"/>
    <w:pPr>
      <w:numPr>
        <w:numId w:val="10"/>
      </w:numPr>
      <w:spacing w:beforeLines="0" w:afterLines="0"/>
      <w:outlineLvl w:val="9"/>
    </w:pPr>
    <w:rPr>
      <w:rFonts w:ascii="宋体" w:eastAsia="宋体"/>
      <w:sz w:val="18"/>
      <w:szCs w:val="18"/>
    </w:rPr>
  </w:style>
  <w:style w:type="paragraph" w:customStyle="1" w:styleId="77">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78">
    <w:name w:val="封面标准号2"/>
    <w:qFormat/>
    <w:uiPriority w:val="0"/>
    <w:pPr>
      <w:spacing w:before="357" w:line="280" w:lineRule="exact"/>
      <w:jc w:val="right"/>
    </w:pPr>
    <w:rPr>
      <w:rFonts w:ascii="黑体" w:hAnsi="Times New Roman" w:eastAsia="黑体" w:cs="Times New Roman"/>
      <w:sz w:val="28"/>
      <w:szCs w:val="28"/>
      <w:lang w:val="en-US" w:eastAsia="zh-CN" w:bidi="ar-SA"/>
    </w:rPr>
  </w:style>
  <w:style w:type="paragraph" w:customStyle="1" w:styleId="79">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80">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81">
    <w:name w:val="目次、标准名称标题"/>
    <w:basedOn w:val="1"/>
    <w:next w:val="28"/>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82">
    <w:name w:val="注×：（正文）"/>
    <w:qFormat/>
    <w:uiPriority w:val="0"/>
    <w:pPr>
      <w:numPr>
        <w:ilvl w:val="0"/>
        <w:numId w:val="11"/>
      </w:numPr>
      <w:jc w:val="both"/>
    </w:pPr>
    <w:rPr>
      <w:rFonts w:ascii="宋体" w:hAnsi="Times New Roman" w:eastAsia="宋体" w:cs="Times New Roman"/>
      <w:sz w:val="18"/>
      <w:szCs w:val="18"/>
      <w:lang w:val="en-US" w:eastAsia="zh-CN" w:bidi="ar-SA"/>
    </w:rPr>
  </w:style>
  <w:style w:type="paragraph" w:customStyle="1" w:styleId="83">
    <w:name w:val="列项——（一级）"/>
    <w:qFormat/>
    <w:uiPriority w:val="0"/>
    <w:pPr>
      <w:widowControl w:val="0"/>
      <w:numPr>
        <w:ilvl w:val="0"/>
        <w:numId w:val="5"/>
      </w:numPr>
      <w:jc w:val="both"/>
    </w:pPr>
    <w:rPr>
      <w:rFonts w:ascii="宋体" w:hAnsi="Times New Roman" w:eastAsia="宋体" w:cs="Times New Roman"/>
      <w:sz w:val="21"/>
      <w:lang w:val="en-US" w:eastAsia="zh-CN" w:bidi="ar-SA"/>
    </w:rPr>
  </w:style>
  <w:style w:type="paragraph" w:customStyle="1" w:styleId="84">
    <w:name w:val="编号列项（三级）"/>
    <w:qFormat/>
    <w:uiPriority w:val="0"/>
    <w:pPr>
      <w:numPr>
        <w:ilvl w:val="2"/>
        <w:numId w:val="8"/>
      </w:numPr>
    </w:pPr>
    <w:rPr>
      <w:rFonts w:ascii="宋体" w:hAnsi="Times New Roman" w:eastAsia="宋体" w:cs="Times New Roman"/>
      <w:sz w:val="21"/>
      <w:lang w:val="en-US" w:eastAsia="zh-CN" w:bidi="ar-SA"/>
    </w:rPr>
  </w:style>
  <w:style w:type="paragraph" w:customStyle="1" w:styleId="85">
    <w:name w:val="示例"/>
    <w:next w:val="70"/>
    <w:qFormat/>
    <w:uiPriority w:val="0"/>
    <w:pPr>
      <w:widowControl w:val="0"/>
      <w:numPr>
        <w:ilvl w:val="0"/>
        <w:numId w:val="12"/>
      </w:numPr>
      <w:jc w:val="both"/>
    </w:pPr>
    <w:rPr>
      <w:rFonts w:ascii="宋体" w:hAnsi="Times New Roman" w:eastAsia="宋体" w:cs="Times New Roman"/>
      <w:sz w:val="18"/>
      <w:szCs w:val="18"/>
      <w:lang w:val="en-US" w:eastAsia="zh-CN" w:bidi="ar-SA"/>
    </w:rPr>
  </w:style>
  <w:style w:type="paragraph" w:customStyle="1" w:styleId="86">
    <w:name w:val="字母编号列项（一级）"/>
    <w:qFormat/>
    <w:uiPriority w:val="0"/>
    <w:pPr>
      <w:numPr>
        <w:ilvl w:val="0"/>
        <w:numId w:val="8"/>
      </w:numPr>
      <w:jc w:val="both"/>
    </w:pPr>
    <w:rPr>
      <w:rFonts w:ascii="宋体" w:hAnsi="Times New Roman" w:eastAsia="宋体" w:cs="Times New Roman"/>
      <w:sz w:val="21"/>
      <w:lang w:val="en-US" w:eastAsia="zh-CN" w:bidi="ar-SA"/>
    </w:rPr>
  </w:style>
  <w:style w:type="paragraph" w:customStyle="1" w:styleId="87">
    <w:name w:val="二级无"/>
    <w:basedOn w:val="61"/>
    <w:qFormat/>
    <w:uiPriority w:val="0"/>
    <w:rPr>
      <w:rFonts w:ascii="宋体"/>
    </w:rPr>
  </w:style>
  <w:style w:type="paragraph" w:customStyle="1" w:styleId="88">
    <w:name w:val="注：（正文）"/>
    <w:basedOn w:val="74"/>
    <w:next w:val="28"/>
    <w:qFormat/>
    <w:uiPriority w:val="0"/>
  </w:style>
  <w:style w:type="paragraph" w:customStyle="1" w:styleId="89">
    <w:name w:val="标准标志"/>
    <w:next w:val="1"/>
    <w:qFormat/>
    <w:uiPriority w:val="0"/>
    <w:pPr>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90">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91">
    <w:name w:val="附录标题"/>
    <w:basedOn w:val="28"/>
    <w:next w:val="28"/>
    <w:qFormat/>
    <w:uiPriority w:val="0"/>
    <w:pPr>
      <w:ind w:firstLine="0" w:firstLineChars="0"/>
      <w:jc w:val="center"/>
    </w:pPr>
    <w:rPr>
      <w:rFonts w:ascii="黑体" w:eastAsia="黑体"/>
    </w:rPr>
  </w:style>
  <w:style w:type="paragraph" w:customStyle="1" w:styleId="92">
    <w:name w:val="附录图标号"/>
    <w:basedOn w:val="1"/>
    <w:qFormat/>
    <w:uiPriority w:val="0"/>
    <w:pPr>
      <w:keepNext/>
      <w:pageBreakBefore/>
      <w:widowControl/>
      <w:numPr>
        <w:ilvl w:val="0"/>
        <w:numId w:val="13"/>
      </w:numPr>
      <w:spacing w:line="14" w:lineRule="exact"/>
      <w:ind w:left="0" w:firstLine="363"/>
      <w:jc w:val="center"/>
      <w:outlineLvl w:val="0"/>
    </w:pPr>
    <w:rPr>
      <w:color w:val="FFFFFF"/>
    </w:rPr>
  </w:style>
  <w:style w:type="paragraph" w:customStyle="1" w:styleId="93">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94">
    <w:name w:val="附录五级无"/>
    <w:basedOn w:val="95"/>
    <w:qFormat/>
    <w:uiPriority w:val="0"/>
    <w:pPr>
      <w:spacing w:beforeLines="0" w:afterLines="0"/>
    </w:pPr>
    <w:rPr>
      <w:rFonts w:ascii="宋体" w:eastAsia="宋体"/>
      <w:szCs w:val="21"/>
    </w:rPr>
  </w:style>
  <w:style w:type="paragraph" w:customStyle="1" w:styleId="95">
    <w:name w:val="附录五级条标题"/>
    <w:basedOn w:val="64"/>
    <w:next w:val="28"/>
    <w:qFormat/>
    <w:uiPriority w:val="0"/>
    <w:pPr>
      <w:numPr>
        <w:ilvl w:val="6"/>
      </w:numPr>
      <w:outlineLvl w:val="6"/>
    </w:pPr>
  </w:style>
  <w:style w:type="paragraph" w:customStyle="1" w:styleId="96">
    <w:name w:val="Char"/>
    <w:basedOn w:val="1"/>
    <w:qFormat/>
    <w:uiPriority w:val="0"/>
    <w:pPr>
      <w:widowControl/>
      <w:spacing w:after="160" w:line="240" w:lineRule="exact"/>
      <w:jc w:val="left"/>
    </w:pPr>
    <w:rPr>
      <w:szCs w:val="20"/>
    </w:rPr>
  </w:style>
  <w:style w:type="paragraph" w:customStyle="1" w:styleId="97">
    <w:name w:val="标准书眉_偶数页"/>
    <w:basedOn w:val="80"/>
    <w:next w:val="1"/>
    <w:qFormat/>
    <w:uiPriority w:val="0"/>
    <w:pPr>
      <w:jc w:val="left"/>
    </w:pPr>
  </w:style>
  <w:style w:type="paragraph" w:customStyle="1" w:styleId="98">
    <w:name w:val="发布部门"/>
    <w:next w:val="28"/>
    <w:qFormat/>
    <w:uiPriority w:val="0"/>
    <w:pPr>
      <w:jc w:val="center"/>
    </w:pPr>
    <w:rPr>
      <w:rFonts w:ascii="宋体" w:hAnsi="Times New Roman" w:eastAsia="宋体" w:cs="Times New Roman"/>
      <w:b/>
      <w:spacing w:val="20"/>
      <w:w w:val="135"/>
      <w:sz w:val="28"/>
      <w:lang w:val="en-US" w:eastAsia="zh-CN" w:bidi="ar-SA"/>
    </w:rPr>
  </w:style>
  <w:style w:type="paragraph" w:customStyle="1" w:styleId="99">
    <w:name w:val="其他发布日期"/>
    <w:basedOn w:val="100"/>
    <w:qFormat/>
    <w:uiPriority w:val="0"/>
  </w:style>
  <w:style w:type="paragraph" w:customStyle="1" w:styleId="100">
    <w:name w:val="发布日期"/>
    <w:qFormat/>
    <w:uiPriority w:val="0"/>
    <w:rPr>
      <w:rFonts w:ascii="Times New Roman" w:hAnsi="Times New Roman" w:eastAsia="黑体" w:cs="Times New Roman"/>
      <w:sz w:val="28"/>
      <w:lang w:val="en-US" w:eastAsia="zh-CN" w:bidi="ar-SA"/>
    </w:rPr>
  </w:style>
  <w:style w:type="paragraph" w:customStyle="1" w:styleId="101">
    <w:name w:val="标准书眉一"/>
    <w:qFormat/>
    <w:uiPriority w:val="0"/>
    <w:pPr>
      <w:jc w:val="both"/>
    </w:pPr>
    <w:rPr>
      <w:rFonts w:ascii="Times New Roman" w:hAnsi="Times New Roman" w:eastAsia="宋体" w:cs="Times New Roman"/>
      <w:lang w:val="en-US" w:eastAsia="zh-CN" w:bidi="ar-SA"/>
    </w:rPr>
  </w:style>
  <w:style w:type="paragraph" w:customStyle="1" w:styleId="102">
    <w:name w:val="参考文献"/>
    <w:basedOn w:val="1"/>
    <w:next w:val="28"/>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03">
    <w:name w:val="图表脚注说明"/>
    <w:basedOn w:val="1"/>
    <w:qFormat/>
    <w:uiPriority w:val="0"/>
    <w:pPr>
      <w:numPr>
        <w:ilvl w:val="0"/>
        <w:numId w:val="14"/>
      </w:numPr>
    </w:pPr>
    <w:rPr>
      <w:rFonts w:ascii="宋体"/>
      <w:sz w:val="18"/>
      <w:szCs w:val="18"/>
    </w:rPr>
  </w:style>
  <w:style w:type="paragraph" w:customStyle="1" w:styleId="104">
    <w:name w:val="参考文献、索引标题"/>
    <w:basedOn w:val="1"/>
    <w:next w:val="28"/>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05">
    <w:name w:val="p15"/>
    <w:basedOn w:val="1"/>
    <w:qFormat/>
    <w:uiPriority w:val="0"/>
    <w:pPr>
      <w:widowControl/>
      <w:spacing w:before="100" w:beforeAutospacing="1" w:after="100" w:afterAutospacing="1"/>
      <w:jc w:val="left"/>
    </w:pPr>
    <w:rPr>
      <w:rFonts w:ascii="宋体" w:hAnsi="宋体" w:cs="宋体"/>
      <w:kern w:val="0"/>
      <w:sz w:val="24"/>
    </w:rPr>
  </w:style>
  <w:style w:type="paragraph" w:customStyle="1" w:styleId="106">
    <w:name w:val="封面标准代替信息"/>
    <w:qFormat/>
    <w:uiPriority w:val="0"/>
    <w:pPr>
      <w:spacing w:before="57" w:line="280" w:lineRule="exact"/>
      <w:jc w:val="right"/>
    </w:pPr>
    <w:rPr>
      <w:rFonts w:ascii="宋体" w:hAnsi="Times New Roman" w:eastAsia="宋体" w:cs="Times New Roman"/>
      <w:sz w:val="21"/>
      <w:szCs w:val="21"/>
      <w:lang w:val="en-US" w:eastAsia="zh-CN" w:bidi="ar-SA"/>
    </w:rPr>
  </w:style>
  <w:style w:type="paragraph" w:customStyle="1" w:styleId="107">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08">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09">
    <w:name w:val="附录三级无"/>
    <w:basedOn w:val="65"/>
    <w:qFormat/>
    <w:uiPriority w:val="0"/>
    <w:pPr>
      <w:tabs>
        <w:tab w:val="clear" w:pos="360"/>
      </w:tabs>
      <w:spacing w:beforeLines="0" w:afterLines="0"/>
    </w:pPr>
    <w:rPr>
      <w:rFonts w:ascii="宋体" w:eastAsia="宋体"/>
      <w:szCs w:val="21"/>
    </w:rPr>
  </w:style>
  <w:style w:type="paragraph" w:customStyle="1" w:styleId="110">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11">
    <w:name w:val="示例后文字"/>
    <w:basedOn w:val="28"/>
    <w:next w:val="28"/>
    <w:qFormat/>
    <w:uiPriority w:val="0"/>
    <w:pPr>
      <w:ind w:firstLine="360"/>
    </w:pPr>
    <w:rPr>
      <w:sz w:val="18"/>
    </w:rPr>
  </w:style>
  <w:style w:type="paragraph" w:customStyle="1" w:styleId="112">
    <w:name w:val="封面标准名称2"/>
    <w:basedOn w:val="110"/>
    <w:qFormat/>
    <w:uiPriority w:val="0"/>
    <w:pPr>
      <w:spacing w:beforeLines="630"/>
    </w:pPr>
  </w:style>
  <w:style w:type="paragraph" w:customStyle="1" w:styleId="113">
    <w:name w:val="封面标准英文名称"/>
    <w:basedOn w:val="110"/>
    <w:qFormat/>
    <w:uiPriority w:val="0"/>
    <w:pPr>
      <w:spacing w:before="370" w:line="400" w:lineRule="exact"/>
    </w:pPr>
    <w:rPr>
      <w:rFonts w:ascii="Times New Roman"/>
      <w:sz w:val="28"/>
      <w:szCs w:val="28"/>
    </w:rPr>
  </w:style>
  <w:style w:type="paragraph" w:customStyle="1" w:styleId="114">
    <w:name w:val="其他发布部门"/>
    <w:basedOn w:val="98"/>
    <w:qFormat/>
    <w:uiPriority w:val="0"/>
    <w:pPr>
      <w:spacing w:line="0" w:lineRule="atLeast"/>
    </w:pPr>
    <w:rPr>
      <w:rFonts w:ascii="黑体" w:eastAsia="黑体"/>
      <w:b w:val="0"/>
    </w:rPr>
  </w:style>
  <w:style w:type="paragraph" w:customStyle="1" w:styleId="115">
    <w:name w:val="四级无"/>
    <w:basedOn w:val="59"/>
    <w:qFormat/>
    <w:uiPriority w:val="0"/>
    <w:rPr>
      <w:rFonts w:ascii="宋体"/>
    </w:rPr>
  </w:style>
  <w:style w:type="paragraph" w:customStyle="1" w:styleId="116">
    <w:name w:val="封面一致性程度标识"/>
    <w:basedOn w:val="113"/>
    <w:qFormat/>
    <w:uiPriority w:val="0"/>
    <w:pPr>
      <w:spacing w:before="440"/>
    </w:pPr>
    <w:rPr>
      <w:rFonts w:ascii="宋体" w:eastAsia="宋体"/>
    </w:rPr>
  </w:style>
  <w:style w:type="paragraph" w:customStyle="1" w:styleId="117">
    <w:name w:val="封面标准文稿类别"/>
    <w:basedOn w:val="116"/>
    <w:qFormat/>
    <w:uiPriority w:val="0"/>
    <w:pPr>
      <w:spacing w:after="160" w:line="240" w:lineRule="auto"/>
    </w:pPr>
    <w:rPr>
      <w:sz w:val="24"/>
    </w:rPr>
  </w:style>
  <w:style w:type="paragraph" w:customStyle="1" w:styleId="118">
    <w:name w:val="Char Char Char2 Char Char Char Char Char Char Char Char Char Char Char Char Char Char Char Char Char Char Char Char Char Char"/>
    <w:basedOn w:val="1"/>
    <w:qFormat/>
    <w:uiPriority w:val="0"/>
    <w:pPr>
      <w:spacing w:line="360" w:lineRule="auto"/>
      <w:ind w:firstLine="200" w:firstLineChars="200"/>
    </w:pPr>
    <w:rPr>
      <w:rFonts w:ascii="宋体" w:hAnsi="宋体" w:cs="宋体"/>
      <w:sz w:val="24"/>
    </w:rPr>
  </w:style>
  <w:style w:type="paragraph" w:customStyle="1" w:styleId="119">
    <w:name w:val="封面标准文稿编辑信息"/>
    <w:basedOn w:val="117"/>
    <w:qFormat/>
    <w:uiPriority w:val="0"/>
    <w:pPr>
      <w:spacing w:before="180" w:line="180" w:lineRule="exact"/>
    </w:pPr>
    <w:rPr>
      <w:sz w:val="21"/>
    </w:rPr>
  </w:style>
  <w:style w:type="paragraph" w:customStyle="1" w:styleId="120">
    <w:name w:val="图标脚注说明"/>
    <w:basedOn w:val="28"/>
    <w:qFormat/>
    <w:uiPriority w:val="0"/>
    <w:pPr>
      <w:ind w:left="840" w:hanging="420" w:firstLineChars="0"/>
    </w:pPr>
    <w:rPr>
      <w:sz w:val="18"/>
      <w:szCs w:val="18"/>
    </w:rPr>
  </w:style>
  <w:style w:type="paragraph" w:customStyle="1" w:styleId="121">
    <w:name w:val="封面正文"/>
    <w:qFormat/>
    <w:uiPriority w:val="0"/>
    <w:pPr>
      <w:jc w:val="both"/>
    </w:pPr>
    <w:rPr>
      <w:rFonts w:ascii="Times New Roman" w:hAnsi="Times New Roman" w:eastAsia="宋体" w:cs="Times New Roman"/>
      <w:lang w:val="en-US" w:eastAsia="zh-CN" w:bidi="ar-SA"/>
    </w:rPr>
  </w:style>
  <w:style w:type="paragraph" w:customStyle="1" w:styleId="122">
    <w:name w:val="其他标准标志"/>
    <w:basedOn w:val="89"/>
    <w:qFormat/>
    <w:uiPriority w:val="0"/>
    <w:rPr>
      <w:w w:val="130"/>
    </w:rPr>
  </w:style>
  <w:style w:type="paragraph" w:customStyle="1" w:styleId="123">
    <w:name w:val="附录标识"/>
    <w:basedOn w:val="1"/>
    <w:next w:val="28"/>
    <w:qFormat/>
    <w:uiPriority w:val="0"/>
    <w:pPr>
      <w:keepNext/>
      <w:widowControl/>
      <w:numPr>
        <w:ilvl w:val="0"/>
        <w:numId w:val="7"/>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24">
    <w:name w:val="附录表标号"/>
    <w:basedOn w:val="1"/>
    <w:next w:val="28"/>
    <w:qFormat/>
    <w:uiPriority w:val="0"/>
    <w:pPr>
      <w:numPr>
        <w:ilvl w:val="0"/>
        <w:numId w:val="15"/>
      </w:numPr>
      <w:tabs>
        <w:tab w:val="clear" w:pos="0"/>
      </w:tabs>
      <w:spacing w:line="14" w:lineRule="exact"/>
      <w:ind w:left="811" w:hanging="448"/>
      <w:jc w:val="center"/>
      <w:outlineLvl w:val="0"/>
    </w:pPr>
    <w:rPr>
      <w:color w:val="FFFFFF"/>
    </w:rPr>
  </w:style>
  <w:style w:type="paragraph" w:customStyle="1" w:styleId="125">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26">
    <w:name w:val="正文公式编号制表符"/>
    <w:basedOn w:val="28"/>
    <w:next w:val="28"/>
    <w:qFormat/>
    <w:uiPriority w:val="0"/>
    <w:pPr>
      <w:ind w:firstLine="0" w:firstLineChars="0"/>
    </w:pPr>
  </w:style>
  <w:style w:type="paragraph" w:customStyle="1" w:styleId="127">
    <w:name w:val="附录表标题"/>
    <w:basedOn w:val="1"/>
    <w:next w:val="28"/>
    <w:qFormat/>
    <w:uiPriority w:val="0"/>
    <w:pPr>
      <w:numPr>
        <w:ilvl w:val="1"/>
        <w:numId w:val="15"/>
      </w:numPr>
      <w:tabs>
        <w:tab w:val="left" w:pos="180"/>
      </w:tabs>
      <w:spacing w:beforeLines="50" w:afterLines="50"/>
      <w:ind w:left="0" w:firstLine="0"/>
      <w:jc w:val="center"/>
    </w:pPr>
    <w:rPr>
      <w:rFonts w:ascii="黑体" w:eastAsia="黑体"/>
      <w:szCs w:val="21"/>
    </w:rPr>
  </w:style>
  <w:style w:type="paragraph" w:customStyle="1" w:styleId="128">
    <w:name w:val="附录二级无"/>
    <w:basedOn w:val="66"/>
    <w:qFormat/>
    <w:uiPriority w:val="0"/>
    <w:pPr>
      <w:tabs>
        <w:tab w:val="clear" w:pos="360"/>
      </w:tabs>
      <w:spacing w:beforeLines="0" w:afterLines="0"/>
    </w:pPr>
    <w:rPr>
      <w:rFonts w:ascii="宋体" w:eastAsia="宋体"/>
      <w:szCs w:val="21"/>
    </w:rPr>
  </w:style>
  <w:style w:type="paragraph" w:customStyle="1" w:styleId="129">
    <w:name w:val="文献分类号"/>
    <w:qFormat/>
    <w:uiPriority w:val="0"/>
    <w:pPr>
      <w:widowControl w:val="0"/>
      <w:textAlignment w:val="center"/>
    </w:pPr>
    <w:rPr>
      <w:rFonts w:ascii="黑体" w:hAnsi="Times New Roman" w:eastAsia="黑体" w:cs="Times New Roman"/>
      <w:sz w:val="21"/>
      <w:szCs w:val="21"/>
      <w:lang w:val="en-US" w:eastAsia="zh-CN" w:bidi="ar-SA"/>
    </w:rPr>
  </w:style>
  <w:style w:type="paragraph" w:customStyle="1" w:styleId="130">
    <w:name w:val="附录公式编号制表符"/>
    <w:basedOn w:val="1"/>
    <w:next w:val="28"/>
    <w:qFormat/>
    <w:uiPriority w:val="0"/>
    <w:pPr>
      <w:widowControl/>
      <w:tabs>
        <w:tab w:val="center" w:pos="4201"/>
        <w:tab w:val="right" w:leader="dot" w:pos="9298"/>
      </w:tabs>
      <w:autoSpaceDE w:val="0"/>
      <w:autoSpaceDN w:val="0"/>
    </w:pPr>
    <w:rPr>
      <w:rFonts w:ascii="宋体"/>
      <w:kern w:val="0"/>
      <w:szCs w:val="20"/>
    </w:rPr>
  </w:style>
  <w:style w:type="paragraph" w:customStyle="1" w:styleId="131">
    <w:name w:val="其他实施日期"/>
    <w:basedOn w:val="132"/>
    <w:qFormat/>
    <w:uiPriority w:val="0"/>
  </w:style>
  <w:style w:type="paragraph" w:customStyle="1" w:styleId="132">
    <w:name w:val="实施日期"/>
    <w:basedOn w:val="100"/>
    <w:qFormat/>
    <w:uiPriority w:val="0"/>
    <w:pPr>
      <w:jc w:val="right"/>
    </w:pPr>
  </w:style>
  <w:style w:type="paragraph" w:customStyle="1" w:styleId="133">
    <w:name w:val="行政审批样式"/>
    <w:basedOn w:val="1"/>
    <w:qFormat/>
    <w:uiPriority w:val="0"/>
    <w:pPr>
      <w:spacing w:afterLines="50"/>
      <w:jc w:val="center"/>
    </w:pPr>
    <w:rPr>
      <w:b/>
      <w:sz w:val="44"/>
      <w:szCs w:val="44"/>
    </w:rPr>
  </w:style>
  <w:style w:type="paragraph" w:customStyle="1" w:styleId="134">
    <w:name w:val="附录数字编号列项（二级）"/>
    <w:qFormat/>
    <w:uiPriority w:val="0"/>
    <w:pPr>
      <w:numPr>
        <w:ilvl w:val="1"/>
        <w:numId w:val="16"/>
      </w:numPr>
    </w:pPr>
    <w:rPr>
      <w:rFonts w:ascii="宋体" w:hAnsi="Times New Roman" w:eastAsia="宋体" w:cs="Times New Roman"/>
      <w:sz w:val="21"/>
      <w:lang w:val="en-US" w:eastAsia="zh-CN" w:bidi="ar-SA"/>
    </w:rPr>
  </w:style>
  <w:style w:type="paragraph" w:customStyle="1" w:styleId="135">
    <w:name w:val="封面标准文稿类别2"/>
    <w:basedOn w:val="117"/>
    <w:qFormat/>
    <w:uiPriority w:val="0"/>
  </w:style>
  <w:style w:type="paragraph" w:customStyle="1" w:styleId="136">
    <w:name w:val="附录图标题"/>
    <w:basedOn w:val="1"/>
    <w:next w:val="28"/>
    <w:qFormat/>
    <w:uiPriority w:val="0"/>
    <w:pPr>
      <w:numPr>
        <w:ilvl w:val="1"/>
        <w:numId w:val="13"/>
      </w:numPr>
      <w:tabs>
        <w:tab w:val="left" w:pos="363"/>
      </w:tabs>
      <w:spacing w:beforeLines="50" w:afterLines="50"/>
      <w:ind w:left="0" w:firstLine="0"/>
      <w:jc w:val="center"/>
    </w:pPr>
    <w:rPr>
      <w:rFonts w:ascii="黑体" w:eastAsia="黑体"/>
      <w:szCs w:val="21"/>
    </w:rPr>
  </w:style>
  <w:style w:type="paragraph" w:customStyle="1" w:styleId="137">
    <w:name w:val="附录一级无"/>
    <w:basedOn w:val="67"/>
    <w:qFormat/>
    <w:uiPriority w:val="0"/>
    <w:pPr>
      <w:tabs>
        <w:tab w:val="clear" w:pos="360"/>
      </w:tabs>
      <w:spacing w:beforeLines="0" w:afterLines="0"/>
    </w:pPr>
    <w:rPr>
      <w:rFonts w:ascii="宋体" w:eastAsia="宋体"/>
      <w:szCs w:val="21"/>
    </w:rPr>
  </w:style>
  <w:style w:type="paragraph" w:customStyle="1" w:styleId="138">
    <w:name w:val="附录字母编号列项（一级）"/>
    <w:qFormat/>
    <w:uiPriority w:val="0"/>
    <w:pPr>
      <w:numPr>
        <w:ilvl w:val="0"/>
        <w:numId w:val="16"/>
      </w:numPr>
    </w:pPr>
    <w:rPr>
      <w:rFonts w:ascii="宋体" w:hAnsi="Times New Roman" w:eastAsia="宋体" w:cs="Times New Roman"/>
      <w:sz w:val="21"/>
      <w:lang w:val="en-US" w:eastAsia="zh-CN" w:bidi="ar-SA"/>
    </w:rPr>
  </w:style>
  <w:style w:type="paragraph" w:customStyle="1" w:styleId="139">
    <w:name w:val="样式 段 + 首行缩进:  0 字符"/>
    <w:basedOn w:val="28"/>
    <w:qFormat/>
    <w:uiPriority w:val="0"/>
    <w:pPr>
      <w:numPr>
        <w:ilvl w:val="0"/>
        <w:numId w:val="17"/>
      </w:numPr>
      <w:tabs>
        <w:tab w:val="clear" w:pos="900"/>
        <w:tab w:val="clear" w:pos="4201"/>
        <w:tab w:val="clear" w:pos="9298"/>
      </w:tabs>
      <w:ind w:left="0" w:firstLine="0" w:firstLineChars="0"/>
    </w:pPr>
    <w:rPr>
      <w:rFonts w:eastAsia="黑体" w:cs="宋体"/>
    </w:rPr>
  </w:style>
  <w:style w:type="paragraph" w:customStyle="1" w:styleId="140">
    <w:name w:val="列出段落1"/>
    <w:basedOn w:val="1"/>
    <w:qFormat/>
    <w:uiPriority w:val="0"/>
    <w:pPr>
      <w:ind w:firstLine="420" w:firstLineChars="200"/>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其他标准称谓"/>
    <w:next w:val="1"/>
    <w:qFormat/>
    <w:uiPriority w:val="0"/>
    <w:pPr>
      <w:spacing w:line="0" w:lineRule="atLeast"/>
      <w:jc w:val="distribute"/>
    </w:pPr>
    <w:rPr>
      <w:rFonts w:ascii="黑体" w:hAnsi="宋体" w:eastAsia="黑体" w:cs="Times New Roman"/>
      <w:spacing w:val="-40"/>
      <w:sz w:val="48"/>
      <w:szCs w:val="52"/>
      <w:lang w:val="en-US" w:eastAsia="zh-CN" w:bidi="ar-SA"/>
    </w:rPr>
  </w:style>
  <w:style w:type="paragraph" w:customStyle="1" w:styleId="143">
    <w:name w:val="三级无"/>
    <w:basedOn w:val="60"/>
    <w:qFormat/>
    <w:uiPriority w:val="0"/>
    <w:rPr>
      <w:rFonts w:ascii="宋体"/>
    </w:rPr>
  </w:style>
  <w:style w:type="paragraph" w:customStyle="1" w:styleId="144">
    <w:name w:val="条文脚注"/>
    <w:basedOn w:val="29"/>
    <w:qFormat/>
    <w:uiPriority w:val="0"/>
    <w:pPr>
      <w:numPr>
        <w:numId w:val="0"/>
      </w:numPr>
      <w:jc w:val="both"/>
    </w:pPr>
  </w:style>
  <w:style w:type="paragraph" w:customStyle="1" w:styleId="145">
    <w:name w:val="封面一致性程度标识2"/>
    <w:basedOn w:val="116"/>
    <w:qFormat/>
    <w:uiPriority w:val="0"/>
  </w:style>
  <w:style w:type="paragraph" w:customStyle="1" w:styleId="146">
    <w:name w:val="图的脚注"/>
    <w:next w:val="28"/>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47">
    <w:name w:val="1 Char Char Char Char"/>
    <w:basedOn w:val="1"/>
    <w:qFormat/>
    <w:uiPriority w:val="0"/>
    <w:rPr>
      <w:rFonts w:ascii="宋体" w:hAnsi="宋体" w:eastAsia="黑体"/>
      <w:kern w:val="0"/>
      <w:sz w:val="32"/>
      <w:szCs w:val="32"/>
      <w:lang w:eastAsia="en-US"/>
    </w:rPr>
  </w:style>
  <w:style w:type="paragraph" w:customStyle="1" w:styleId="148">
    <w:name w:val="五级无"/>
    <w:basedOn w:val="75"/>
    <w:qFormat/>
    <w:uiPriority w:val="0"/>
    <w:rPr>
      <w:rFonts w:ascii="宋体"/>
    </w:rPr>
  </w:style>
  <w:style w:type="paragraph" w:customStyle="1" w:styleId="149">
    <w:name w:val="一级无"/>
    <w:basedOn w:val="55"/>
    <w:qFormat/>
    <w:uiPriority w:val="0"/>
    <w:pPr>
      <w:spacing w:beforeLines="0" w:afterLines="0"/>
    </w:pPr>
    <w:rPr>
      <w:rFonts w:ascii="宋体"/>
    </w:rPr>
  </w:style>
  <w:style w:type="paragraph" w:customStyle="1" w:styleId="150">
    <w:name w:val="正文表标题"/>
    <w:next w:val="28"/>
    <w:qFormat/>
    <w:uiPriority w:val="0"/>
    <w:pPr>
      <w:numPr>
        <w:ilvl w:val="0"/>
        <w:numId w:val="18"/>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51">
    <w:name w:val="正文图标题"/>
    <w:next w:val="28"/>
    <w:qFormat/>
    <w:uiPriority w:val="0"/>
    <w:pPr>
      <w:numPr>
        <w:ilvl w:val="0"/>
        <w:numId w:val="19"/>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52">
    <w:name w:val="终结线"/>
    <w:basedOn w:val="1"/>
    <w:qFormat/>
    <w:uiPriority w:val="0"/>
  </w:style>
  <w:style w:type="paragraph" w:customStyle="1" w:styleId="153">
    <w:name w:val="封面标准英文名称2"/>
    <w:basedOn w:val="113"/>
    <w:qFormat/>
    <w:uiPriority w:val="0"/>
  </w:style>
  <w:style w:type="paragraph" w:customStyle="1" w:styleId="154">
    <w:name w:val="封面标准文稿编辑信息2"/>
    <w:basedOn w:val="119"/>
    <w:qFormat/>
    <w:uiPriority w:val="0"/>
  </w:style>
  <w:style w:type="paragraph" w:customStyle="1" w:styleId="155">
    <w:name w:val="Char Char Char Char Char Char Char"/>
    <w:basedOn w:val="1"/>
    <w:qFormat/>
    <w:uiPriority w:val="0"/>
  </w:style>
  <w:style w:type="character" w:customStyle="1" w:styleId="156">
    <w:name w:val="段 Char"/>
    <w:basedOn w:val="39"/>
    <w:qFormat/>
    <w:locked/>
    <w:uiPriority w:val="0"/>
    <w:rPr>
      <w:rFonts w:ascii="宋体" w:hAnsi="宋体" w:eastAsia="宋体"/>
      <w:sz w:val="21"/>
      <w:lang w:val="en-US" w:eastAsia="zh-CN" w:bidi="ar-SA"/>
    </w:rPr>
  </w:style>
  <w:style w:type="character" w:customStyle="1" w:styleId="157">
    <w:name w:val="apple-converted-space"/>
    <w:basedOn w:val="39"/>
    <w:qFormat/>
    <w:uiPriority w:val="0"/>
  </w:style>
  <w:style w:type="character" w:customStyle="1" w:styleId="158">
    <w:name w:val="index5"/>
    <w:basedOn w:val="39"/>
    <w:qFormat/>
    <w:uiPriority w:val="0"/>
  </w:style>
  <w:style w:type="character" w:customStyle="1" w:styleId="159">
    <w:name w:val="text8"/>
    <w:basedOn w:val="39"/>
    <w:qFormat/>
    <w:uiPriority w:val="0"/>
  </w:style>
  <w:style w:type="character" w:customStyle="1" w:styleId="160">
    <w:name w:val="title-prefix"/>
    <w:basedOn w:val="39"/>
    <w:qFormat/>
    <w:uiPriority w:val="0"/>
  </w:style>
  <w:style w:type="paragraph" w:customStyle="1" w:styleId="161">
    <w:name w:val="vsbcontent_star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2">
    <w:name w:val="vsbcontent_end"/>
    <w:basedOn w:val="1"/>
    <w:qFormat/>
    <w:uiPriority w:val="0"/>
    <w:pPr>
      <w:widowControl/>
      <w:spacing w:before="100" w:beforeAutospacing="1" w:after="100" w:afterAutospacing="1"/>
      <w:jc w:val="left"/>
    </w:pPr>
    <w:rPr>
      <w:rFonts w:ascii="宋体" w:hAnsi="宋体" w:cs="宋体"/>
      <w:kern w:val="0"/>
      <w:sz w:val="24"/>
    </w:rPr>
  </w:style>
  <w:style w:type="character" w:customStyle="1" w:styleId="163">
    <w:name w:val="timestyle82931"/>
    <w:basedOn w:val="39"/>
    <w:qFormat/>
    <w:uiPriority w:val="0"/>
    <w:rPr>
      <w:sz w:val="18"/>
      <w:szCs w:val="18"/>
    </w:rPr>
  </w:style>
  <w:style w:type="character" w:customStyle="1" w:styleId="164">
    <w:name w:val="authorstyle82931"/>
    <w:basedOn w:val="39"/>
    <w:qFormat/>
    <w:uiPriority w:val="0"/>
    <w:rPr>
      <w:sz w:val="18"/>
      <w:szCs w:val="18"/>
    </w:rPr>
  </w:style>
  <w:style w:type="character" w:customStyle="1" w:styleId="165">
    <w:name w:val="wb_content"/>
    <w:basedOn w:val="39"/>
    <w:qFormat/>
    <w:uiPriority w:val="0"/>
  </w:style>
  <w:style w:type="paragraph" w:styleId="166">
    <w:name w:val="List Paragraph"/>
    <w:basedOn w:val="1"/>
    <w:qFormat/>
    <w:uiPriority w:val="34"/>
    <w:pPr>
      <w:widowControl/>
      <w:ind w:firstLine="420" w:firstLineChars="200"/>
      <w:jc w:val="left"/>
    </w:pPr>
    <w:rPr>
      <w:rFonts w:ascii="宋体" w:hAnsi="宋体" w:cs="宋体"/>
      <w:kern w:val="0"/>
      <w:sz w:val="24"/>
    </w:rPr>
  </w:style>
  <w:style w:type="character" w:customStyle="1" w:styleId="167">
    <w:name w:val="标题 1 Char"/>
    <w:basedOn w:val="39"/>
    <w:link w:val="2"/>
    <w:qFormat/>
    <w:uiPriority w:val="9"/>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kylin/D:\yang\&#26631;&#20934;&#21270;\&#25919;&#21153;&#26631;&#20934;&#21270;\&#36154;&#20848;&#25919;&#21153;&#20844;&#24320;&#26631;&#20934;&#21270;\1&#24449;&#22320;&#34917;&#20607;\&#34892;&#25919;&#20013;&#24515;&#26631;&#20934;&#20307;&#31995;&#23450;&#31295;%20P178mcx2014051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1"/>
  </customShpExts>
</s:customData>
</file>

<file path=customXml/item2.xml><?xml version='1.0' encoding='UTF-8' standalone='no'?>
<b:Sources xmlns:b="http://schemas.openxmlformats.org/officeDocument/2006/bibliography" SelectedStyle="\APA.XSL" xmlns:b="http://schemas.openxmlformats.org/officeDocument/2006/bibliography"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90E0C9-1DA9-4C1B-A05F-5205DF508B5E}">
  <ds:schemaRefs/>
</ds:datastoreItem>
</file>

<file path=docProps/app.xml><?xml version="1.0" encoding="utf-8"?>
<Properties xmlns="http://schemas.openxmlformats.org/officeDocument/2006/extended-properties" xmlns:vt="http://schemas.openxmlformats.org/officeDocument/2006/docPropsVTypes">
  <Template>行政中心标准体系定稿 P178mcx20140519.dot</Template>
  <Company>zle</Company>
  <Pages>46</Pages>
  <Words>7535</Words>
  <Characters>42951</Characters>
  <Lines>357</Lines>
  <Paragraphs>100</Paragraphs>
  <TotalTime>132</TotalTime>
  <ScaleCrop>false</ScaleCrop>
  <LinksUpToDate>false</LinksUpToDate>
  <CharactersWithSpaces>50386</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2018-07-18T18:26:00Z</dcterms:created>
  <dc:creator>ypq</dc:creator>
  <cp:lastModifiedBy>kylin</cp:lastModifiedBy>
  <cp:lastPrinted>2015-12-09T11:28:00Z</cp:lastPrinted>
  <dcterms:modified xsi:type="dcterms:W3CDTF">2025-08-05T15:21:54Z</dcterms:modified>
  <dc:title>标准名称</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EF21889C2A0FA1A712B191685C45C160_42</vt:lpwstr>
  </property>
</Properties>
</file>