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C7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县农改中心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“政府开放日”活动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总结</w:t>
      </w:r>
    </w:p>
    <w:p w14:paraId="087F1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610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贯彻习近平新时代中国特色社会主义思想，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落实全县政务公开工作，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提高人民群众对政府工作的满意度，保障人民群众的知情权、表达权、参与权和监督权，推动基层政务公开工作，提升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政务公开工作水平，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中心精心组织、周密谋划，开展了以“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发展数字赋能乡村，改革点亮生活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”为主题的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2025年度“政府开放日活动”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活动充分展示了中心政务工作流程，取得了预期效果。</w:t>
      </w:r>
    </w:p>
    <w:p w14:paraId="11083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4173220" cy="2623820"/>
            <wp:effectExtent l="0" t="0" r="2540" b="12700"/>
            <wp:docPr id="9" name="图片 9" descr="wechat_2025-09-29_085623_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wechat_2025-09-29_085623_79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73220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5B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</w:rPr>
        <w:t>本次活动邀请了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金融机构代表、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</w:rPr>
        <w:t>新型农业经营主体负责人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及其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</w:rPr>
        <w:t>农民群众代表共25人，活动以现场观摩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</w:rPr>
        <w:t>座谈交流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及问卷交流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</w:rPr>
        <w:t>的方式开展。 受邀代表先后观摩了农村各类产权确权颁证、农村产权抵押贷款评估及审批、APP抵押贷款、农村改革政策咨询、农村改革展厅。工作人员向受邀代表详细解读了有关涉农政策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、展示了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</w:rPr>
        <w:t>抵押融资贷款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网上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</w:rPr>
        <w:t>申办流程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以及介绍了数字普惠金融试点工作开展情况。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分管领导和科室负责人就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受邀代表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提出的问题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</w:rPr>
        <w:t>耐心解答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全方位探讨交流。</w:t>
      </w:r>
    </w:p>
    <w:p w14:paraId="00B8F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4281170" cy="2616200"/>
            <wp:effectExtent l="0" t="0" r="1270" b="5080"/>
            <wp:docPr id="5" name="图片 5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117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94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代表们表示，中心“政务开放日”活动内容丰富、形式新颖，他们不仅深入了解农村改革相关政策，而且知晓了农村产权抵押贷款、农村产权流转交易及数字普惠金融等相关内容，感慨数字化方便了农村工作的开展，也让农民办理业务更加方便，表示此次活动收获满满，同时对中心工作开展情况及取得的成绩给予了高度评价。</w:t>
      </w:r>
    </w:p>
    <w:p w14:paraId="6F5F6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</w:rPr>
        <w:t>次活动的举行，进一步提升了政务服务透明度，加强了社会各界对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农村改革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</w:rPr>
        <w:t>工作的了解和监督，极大增进了党群干群关系，提升了政府公信力。中心将以此为契机，进一步大胆探索，先行先试，</w:t>
      </w:r>
      <w:r>
        <w:rPr>
          <w:rFonts w:hint="eastAsia" w:ascii="仿宋_GB2312" w:hAnsi="仿宋_GB2312" w:eastAsia="仿宋_GB2312" w:cs="仿宋_GB2312"/>
          <w:sz w:val="32"/>
          <w:szCs w:val="32"/>
        </w:rPr>
        <w:t>着眼于加强自身建设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</w:rPr>
        <w:t>着力破解体制性障碍、机制性梗阻、政策性堵点，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保障群众合法权益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  <w:lang w:eastAsia="zh-CN"/>
        </w:rPr>
        <w:t>助力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7"/>
          <w:sz w:val="32"/>
          <w:szCs w:val="32"/>
          <w:shd w:val="clear" w:color="auto" w:fill="FFFFFF"/>
        </w:rPr>
        <w:t>乡村振兴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</w:rPr>
        <w:t>！</w:t>
      </w:r>
    </w:p>
    <w:p w14:paraId="60B17F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31A039C">
      <w:pPr>
        <w:pStyle w:val="2"/>
        <w:rPr>
          <w:rFonts w:hint="eastAsia"/>
          <w:lang w:eastAsia="zh-CN"/>
        </w:rPr>
      </w:pPr>
    </w:p>
    <w:p w14:paraId="1C35FE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52CE0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平罗县农村综合改革服务中心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5CC8F83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2025年9月29日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0DF17">
    <w:pPr>
      <w:pStyle w:val="2"/>
      <w:tabs>
        <w:tab w:val="left" w:pos="3843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B92B4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6B92B4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DF26AF"/>
    <w:multiLevelType w:val="multilevel"/>
    <w:tmpl w:val="8DDF26AF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3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717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A5705"/>
    <w:rsid w:val="03DF1EFE"/>
    <w:rsid w:val="06E8731C"/>
    <w:rsid w:val="0B5B35F1"/>
    <w:rsid w:val="0BD75BB1"/>
    <w:rsid w:val="0CA1430C"/>
    <w:rsid w:val="1869193F"/>
    <w:rsid w:val="19646371"/>
    <w:rsid w:val="1AAD645B"/>
    <w:rsid w:val="1B4A1EFB"/>
    <w:rsid w:val="1B762CF0"/>
    <w:rsid w:val="1C0C5403"/>
    <w:rsid w:val="1E933BB9"/>
    <w:rsid w:val="1FED554B"/>
    <w:rsid w:val="20EF2BFD"/>
    <w:rsid w:val="21CB1179"/>
    <w:rsid w:val="22CF718A"/>
    <w:rsid w:val="22E83E3E"/>
    <w:rsid w:val="29D308D1"/>
    <w:rsid w:val="2A093583"/>
    <w:rsid w:val="3509652C"/>
    <w:rsid w:val="388365F5"/>
    <w:rsid w:val="3FC26C5C"/>
    <w:rsid w:val="41911D83"/>
    <w:rsid w:val="462907DC"/>
    <w:rsid w:val="47596E9F"/>
    <w:rsid w:val="49C12AD9"/>
    <w:rsid w:val="49EF06DD"/>
    <w:rsid w:val="4DCA62DD"/>
    <w:rsid w:val="53EA3993"/>
    <w:rsid w:val="57B343A9"/>
    <w:rsid w:val="595E6596"/>
    <w:rsid w:val="5F7F1346"/>
    <w:rsid w:val="6280757E"/>
    <w:rsid w:val="63ED0C43"/>
    <w:rsid w:val="652C579B"/>
    <w:rsid w:val="686A5705"/>
    <w:rsid w:val="6A507803"/>
    <w:rsid w:val="722664E2"/>
    <w:rsid w:val="75F45E61"/>
    <w:rsid w:val="77212C85"/>
    <w:rsid w:val="77217325"/>
    <w:rsid w:val="79F60D52"/>
    <w:rsid w:val="7DCE51E9"/>
    <w:rsid w:val="7EC8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numPr>
        <w:ilvl w:val="3"/>
        <w:numId w:val="1"/>
      </w:numPr>
      <w:spacing w:before="50" w:beforeLines="50" w:after="50" w:afterLines="50"/>
      <w:ind w:firstLine="0"/>
      <w:outlineLvl w:val="3"/>
    </w:pPr>
    <w:rPr>
      <w:rFonts w:ascii="Cambria" w:hAnsi="Cambria"/>
      <w:b/>
      <w:bCs/>
      <w:sz w:val="28"/>
      <w:szCs w:val="35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中共云南省委员会</Company>
  <Pages>3</Pages>
  <Words>706</Words>
  <Characters>716</Characters>
  <Lines>0</Lines>
  <Paragraphs>0</Paragraphs>
  <TotalTime>10</TotalTime>
  <ScaleCrop>false</ScaleCrop>
  <LinksUpToDate>false</LinksUpToDate>
  <CharactersWithSpaces>746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2025-09-28T07:19:00Z</dcterms:created>
  <dc:creator>知非</dc:creator>
  <cp:lastModifiedBy>知非</cp:lastModifiedBy>
  <cp:lastPrinted>2025-09-29T07:10:00Z</cp:lastPrinted>
  <dcterms:modified xsi:type="dcterms:W3CDTF">2025-09-29T07:28:40Z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7B518EECED75483DA0E52AE8878C044B_11</vt:lpwstr>
  </property>
  <property fmtid="{D5CDD505-2E9C-101B-9397-08002B2CF9AE}" pid="4" name="KSOTemplateDocerSaveRecord">
    <vt:lpwstr>eyJoZGlkIjoiMTBlNTQyNTIxYjIxNDM0NjdkYWExNTQ2ZjAxMzRiY2EiLCJ1c2VySWQiOiI4Mzg1OTQ2MDcifQ==</vt:lpwstr>
  </property>
</Properties>
</file>